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D36" w:rsidRPr="00A97D36" w:rsidRDefault="00A97D36" w:rsidP="00A97D36">
      <w:pPr>
        <w:spacing w:beforeLines="100" w:before="312" w:afterLines="100" w:after="312"/>
        <w:jc w:val="center"/>
        <w:rPr>
          <w:rFonts w:ascii="黑体" w:eastAsia="黑体" w:hAnsi="黑体" w:cs="Times New Roman"/>
          <w:b/>
          <w:sz w:val="36"/>
          <w:szCs w:val="32"/>
        </w:rPr>
      </w:pPr>
      <w:r w:rsidRPr="00A97D36">
        <w:rPr>
          <w:rFonts w:ascii="黑体" w:eastAsia="黑体" w:hAnsi="黑体" w:cs="Times New Roman" w:hint="eastAsia"/>
          <w:b/>
          <w:sz w:val="36"/>
          <w:szCs w:val="32"/>
        </w:rPr>
        <w:t>南京理工大学单一来源采购专家论证意见表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4"/>
        <w:gridCol w:w="3476"/>
        <w:gridCol w:w="1732"/>
        <w:gridCol w:w="3479"/>
      </w:tblGrid>
      <w:tr w:rsidR="00A97D36" w:rsidRPr="00A97D36">
        <w:trPr>
          <w:trHeight w:val="495"/>
        </w:trPr>
        <w:tc>
          <w:tcPr>
            <w:tcW w:w="832"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承办单位</w:t>
            </w:r>
          </w:p>
        </w:tc>
        <w:tc>
          <w:tcPr>
            <w:tcW w:w="1668" w:type="pct"/>
            <w:vAlign w:val="center"/>
          </w:tcPr>
          <w:p w:rsidR="00A97D36" w:rsidRPr="00A97D36" w:rsidRDefault="0019418E" w:rsidP="00A97D36">
            <w:pPr>
              <w:jc w:val="center"/>
              <w:rPr>
                <w:rFonts w:ascii="宋体" w:eastAsia="宋体" w:hAnsi="宋体" w:cs="Times New Roman"/>
                <w:b/>
                <w:sz w:val="24"/>
                <w:szCs w:val="24"/>
              </w:rPr>
            </w:pPr>
            <w:r w:rsidRPr="0019418E">
              <w:rPr>
                <w:rFonts w:ascii="宋体" w:eastAsia="宋体" w:hAnsi="宋体" w:cs="Times New Roman" w:hint="eastAsia"/>
                <w:sz w:val="24"/>
                <w:szCs w:val="24"/>
              </w:rPr>
              <w:t>能源与动力工程学院</w:t>
            </w:r>
          </w:p>
        </w:tc>
        <w:tc>
          <w:tcPr>
            <w:tcW w:w="831"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使用单位</w:t>
            </w:r>
          </w:p>
        </w:tc>
        <w:tc>
          <w:tcPr>
            <w:tcW w:w="1669" w:type="pct"/>
            <w:vAlign w:val="center"/>
          </w:tcPr>
          <w:p w:rsidR="00A97D36" w:rsidRPr="00A97D36" w:rsidRDefault="0019418E" w:rsidP="00A97D36">
            <w:pPr>
              <w:jc w:val="center"/>
              <w:rPr>
                <w:rFonts w:ascii="宋体" w:eastAsia="宋体" w:hAnsi="宋体" w:cs="Times New Roman"/>
                <w:sz w:val="24"/>
                <w:szCs w:val="24"/>
              </w:rPr>
            </w:pPr>
            <w:r w:rsidRPr="0019418E">
              <w:rPr>
                <w:rFonts w:ascii="宋体" w:eastAsia="宋体" w:hAnsi="宋体" w:cs="Times New Roman" w:hint="eastAsia"/>
                <w:sz w:val="24"/>
                <w:szCs w:val="24"/>
              </w:rPr>
              <w:t>能源与动力工程学院</w:t>
            </w:r>
          </w:p>
        </w:tc>
      </w:tr>
      <w:tr w:rsidR="00A97D36" w:rsidRPr="00A97D36">
        <w:trPr>
          <w:trHeight w:val="558"/>
        </w:trPr>
        <w:tc>
          <w:tcPr>
            <w:tcW w:w="832"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预算金额</w:t>
            </w:r>
          </w:p>
        </w:tc>
        <w:tc>
          <w:tcPr>
            <w:tcW w:w="1668" w:type="pct"/>
            <w:vAlign w:val="center"/>
          </w:tcPr>
          <w:p w:rsidR="00A97D36" w:rsidRPr="00A97D36" w:rsidRDefault="0019418E" w:rsidP="00A97D36">
            <w:pPr>
              <w:jc w:val="center"/>
              <w:rPr>
                <w:rFonts w:ascii="宋体" w:eastAsia="宋体" w:hAnsi="宋体" w:cs="Times New Roman"/>
                <w:b/>
                <w:sz w:val="24"/>
                <w:szCs w:val="24"/>
              </w:rPr>
            </w:pPr>
            <w:r w:rsidRPr="0019418E">
              <w:rPr>
                <w:rFonts w:ascii="宋体" w:eastAsia="宋体" w:hAnsi="宋体" w:cs="Times New Roman" w:hint="eastAsia"/>
                <w:sz w:val="24"/>
                <w:szCs w:val="24"/>
              </w:rPr>
              <w:t>2</w:t>
            </w:r>
            <w:r w:rsidRPr="0019418E">
              <w:rPr>
                <w:rFonts w:ascii="宋体" w:eastAsia="宋体" w:hAnsi="宋体" w:cs="Times New Roman"/>
                <w:sz w:val="24"/>
                <w:szCs w:val="24"/>
              </w:rPr>
              <w:t>8.5</w:t>
            </w:r>
            <w:r w:rsidRPr="0019418E">
              <w:rPr>
                <w:rFonts w:ascii="宋体" w:eastAsia="宋体" w:hAnsi="宋体" w:cs="Times New Roman" w:hint="eastAsia"/>
                <w:sz w:val="24"/>
                <w:szCs w:val="24"/>
              </w:rPr>
              <w:t>万元</w:t>
            </w:r>
          </w:p>
        </w:tc>
        <w:tc>
          <w:tcPr>
            <w:tcW w:w="831"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项目名称</w:t>
            </w:r>
          </w:p>
        </w:tc>
        <w:tc>
          <w:tcPr>
            <w:tcW w:w="1669" w:type="pct"/>
            <w:vAlign w:val="center"/>
          </w:tcPr>
          <w:p w:rsidR="00A97D36" w:rsidRPr="00A97D36" w:rsidRDefault="0019418E" w:rsidP="00A97D36">
            <w:pPr>
              <w:jc w:val="center"/>
              <w:rPr>
                <w:rFonts w:ascii="宋体" w:eastAsia="宋体" w:hAnsi="宋体" w:cs="Times New Roman"/>
                <w:sz w:val="24"/>
                <w:szCs w:val="24"/>
              </w:rPr>
            </w:pPr>
            <w:proofErr w:type="gramStart"/>
            <w:r w:rsidRPr="0079577F">
              <w:rPr>
                <w:rFonts w:hint="eastAsia"/>
              </w:rPr>
              <w:t>达梦数据库管理系统</w:t>
            </w:r>
            <w:proofErr w:type="gramEnd"/>
          </w:p>
        </w:tc>
      </w:tr>
      <w:tr w:rsidR="00A97D36" w:rsidRPr="00A97D36">
        <w:trPr>
          <w:trHeight w:val="410"/>
        </w:trPr>
        <w:tc>
          <w:tcPr>
            <w:tcW w:w="832"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采购联系人</w:t>
            </w:r>
          </w:p>
        </w:tc>
        <w:tc>
          <w:tcPr>
            <w:tcW w:w="1668" w:type="pct"/>
            <w:vAlign w:val="center"/>
          </w:tcPr>
          <w:p w:rsidR="00A97D36" w:rsidRPr="00A97D36" w:rsidRDefault="0019418E" w:rsidP="00A97D36">
            <w:pPr>
              <w:jc w:val="center"/>
              <w:rPr>
                <w:rFonts w:ascii="宋体" w:eastAsia="宋体" w:hAnsi="宋体" w:cs="Times New Roman"/>
                <w:b/>
                <w:sz w:val="24"/>
                <w:szCs w:val="24"/>
              </w:rPr>
            </w:pPr>
            <w:proofErr w:type="gramStart"/>
            <w:r w:rsidRPr="0019418E">
              <w:rPr>
                <w:rFonts w:ascii="宋体" w:eastAsia="宋体" w:hAnsi="宋体" w:cs="Times New Roman" w:hint="eastAsia"/>
                <w:sz w:val="24"/>
                <w:szCs w:val="24"/>
              </w:rPr>
              <w:t>杨富锋</w:t>
            </w:r>
            <w:proofErr w:type="gramEnd"/>
          </w:p>
        </w:tc>
        <w:tc>
          <w:tcPr>
            <w:tcW w:w="831"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联系电话</w:t>
            </w:r>
          </w:p>
        </w:tc>
        <w:tc>
          <w:tcPr>
            <w:tcW w:w="1669" w:type="pct"/>
            <w:vAlign w:val="center"/>
          </w:tcPr>
          <w:p w:rsidR="00A97D36" w:rsidRPr="00A97D36" w:rsidRDefault="0019418E" w:rsidP="00A97D36">
            <w:pPr>
              <w:jc w:val="center"/>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3813996314</w:t>
            </w:r>
          </w:p>
        </w:tc>
      </w:tr>
      <w:tr w:rsidR="00A97D36" w:rsidRPr="00A97D36">
        <w:trPr>
          <w:trHeight w:val="1926"/>
        </w:trPr>
        <w:tc>
          <w:tcPr>
            <w:tcW w:w="832"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制造商（代理商名称及单位地址）</w:t>
            </w:r>
          </w:p>
        </w:tc>
        <w:tc>
          <w:tcPr>
            <w:tcW w:w="4168" w:type="pct"/>
            <w:gridSpan w:val="3"/>
            <w:vAlign w:val="center"/>
          </w:tcPr>
          <w:p w:rsidR="00A97D36" w:rsidRPr="00A97D36" w:rsidRDefault="0019418E" w:rsidP="00A97D36">
            <w:pPr>
              <w:jc w:val="center"/>
              <w:rPr>
                <w:rFonts w:ascii="宋体" w:eastAsia="宋体" w:hAnsi="宋体" w:cs="Times New Roman"/>
                <w:sz w:val="32"/>
                <w:szCs w:val="32"/>
              </w:rPr>
            </w:pPr>
            <w:proofErr w:type="gramStart"/>
            <w:r w:rsidRPr="0034300F">
              <w:rPr>
                <w:rFonts w:hint="eastAsia"/>
                <w:color w:val="000000"/>
              </w:rPr>
              <w:t>武汉达梦数据库</w:t>
            </w:r>
            <w:proofErr w:type="gramEnd"/>
            <w:r w:rsidRPr="0034300F">
              <w:rPr>
                <w:rFonts w:hint="eastAsia"/>
                <w:color w:val="000000"/>
              </w:rPr>
              <w:t>股份有限公司</w:t>
            </w:r>
          </w:p>
        </w:tc>
      </w:tr>
      <w:tr w:rsidR="00A97D36" w:rsidRPr="00A97D36">
        <w:trPr>
          <w:trHeight w:val="2765"/>
        </w:trPr>
        <w:tc>
          <w:tcPr>
            <w:tcW w:w="832"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本项目适用单一来源方式采购的情形（必须勾选）</w:t>
            </w:r>
          </w:p>
        </w:tc>
        <w:tc>
          <w:tcPr>
            <w:tcW w:w="4168" w:type="pct"/>
            <w:gridSpan w:val="3"/>
            <w:vAlign w:val="center"/>
          </w:tcPr>
          <w:p w:rsidR="00A97D36" w:rsidRPr="00A97D36" w:rsidRDefault="00A97D36" w:rsidP="00A97D36">
            <w:pPr>
              <w:numPr>
                <w:ilvl w:val="0"/>
                <w:numId w:val="1"/>
              </w:numPr>
              <w:rPr>
                <w:rFonts w:ascii="宋体" w:eastAsia="宋体" w:hAnsi="宋体" w:cs="Times New Roman"/>
                <w:b/>
                <w:color w:val="000000"/>
                <w:sz w:val="24"/>
                <w:szCs w:val="24"/>
              </w:rPr>
            </w:pPr>
            <w:r w:rsidRPr="00A97D36">
              <w:rPr>
                <w:rFonts w:ascii="宋体" w:eastAsia="宋体" w:hAnsi="宋体" w:cs="Times New Roman" w:hint="eastAsia"/>
                <w:b/>
                <w:color w:val="000000"/>
                <w:sz w:val="24"/>
                <w:szCs w:val="24"/>
              </w:rPr>
              <w:t>类型</w:t>
            </w:r>
            <w:proofErr w:type="gramStart"/>
            <w:r w:rsidRPr="00A97D36">
              <w:rPr>
                <w:rFonts w:ascii="宋体" w:eastAsia="宋体" w:hAnsi="宋体" w:cs="Times New Roman" w:hint="eastAsia"/>
                <w:b/>
                <w:color w:val="000000"/>
                <w:sz w:val="24"/>
                <w:szCs w:val="24"/>
              </w:rPr>
              <w:t>一</w:t>
            </w:r>
            <w:proofErr w:type="gramEnd"/>
            <w:r w:rsidRPr="00A97D36">
              <w:rPr>
                <w:rFonts w:ascii="宋体" w:eastAsia="宋体" w:hAnsi="宋体" w:cs="Times New Roman" w:hint="eastAsia"/>
                <w:b/>
                <w:color w:val="000000"/>
                <w:sz w:val="24"/>
                <w:szCs w:val="24"/>
              </w:rPr>
              <w:t>：只能从唯一特定供应商处采购：</w:t>
            </w:r>
          </w:p>
          <w:p w:rsidR="00A97D36" w:rsidRPr="00A97D36" w:rsidRDefault="0019418E" w:rsidP="00A97D36">
            <w:pPr>
              <w:rPr>
                <w:rFonts w:ascii="宋体" w:eastAsia="宋体" w:hAnsi="宋体" w:cs="Times New Roman"/>
                <w:color w:val="000000"/>
                <w:sz w:val="24"/>
                <w:szCs w:val="24"/>
              </w:rPr>
            </w:pPr>
            <w:r>
              <w:rPr>
                <w:rFonts w:ascii="宋体" w:eastAsia="宋体" w:hAnsi="宋体" w:cs="Times New Roman" w:hint="eastAsia"/>
                <w:color w:val="000000"/>
                <w:sz w:val="24"/>
                <w:szCs w:val="24"/>
              </w:rPr>
              <w:t>■</w:t>
            </w:r>
            <w:r w:rsidR="00A97D36" w:rsidRPr="00A97D36">
              <w:rPr>
                <w:rFonts w:ascii="宋体" w:eastAsia="宋体" w:hAnsi="宋体" w:cs="Times New Roman" w:hint="eastAsia"/>
                <w:color w:val="000000"/>
                <w:sz w:val="24"/>
                <w:szCs w:val="24"/>
              </w:rPr>
              <w:t>供应商拥有专利权，其他商家无法替代；</w:t>
            </w:r>
          </w:p>
          <w:p w:rsidR="00A97D36" w:rsidRPr="00A97D36" w:rsidRDefault="00A97D36" w:rsidP="00A97D36">
            <w:pPr>
              <w:rPr>
                <w:rFonts w:ascii="宋体" w:eastAsia="宋体" w:hAnsi="宋体" w:cs="Times New Roman"/>
                <w:color w:val="000000"/>
                <w:sz w:val="24"/>
                <w:szCs w:val="24"/>
              </w:rPr>
            </w:pPr>
            <w:r w:rsidRPr="00A97D36">
              <w:rPr>
                <w:rFonts w:ascii="宋体" w:eastAsia="宋体" w:hAnsi="宋体" w:cs="Times New Roman" w:hint="eastAsia"/>
                <w:color w:val="000000"/>
                <w:sz w:val="24"/>
                <w:szCs w:val="24"/>
              </w:rPr>
              <w:t>□经公开发布公告，只有一家供应商投标；</w:t>
            </w:r>
          </w:p>
          <w:p w:rsidR="00A97D36" w:rsidRPr="00A97D36" w:rsidRDefault="00A97D36" w:rsidP="00A97D36">
            <w:pPr>
              <w:rPr>
                <w:rFonts w:ascii="宋体" w:eastAsia="宋体" w:hAnsi="宋体" w:cs="Times New Roman"/>
                <w:color w:val="000000"/>
                <w:sz w:val="24"/>
                <w:szCs w:val="24"/>
              </w:rPr>
            </w:pPr>
            <w:r w:rsidRPr="00A97D36">
              <w:rPr>
                <w:rFonts w:ascii="宋体" w:eastAsia="宋体" w:hAnsi="宋体" w:cs="Times New Roman" w:hint="eastAsia"/>
                <w:color w:val="000000"/>
                <w:sz w:val="24"/>
                <w:szCs w:val="24"/>
              </w:rPr>
              <w:t>□技术含量较高、专业性较强或建设时间非常紧迫的非标或委托研制的教学科研仪器设备、信息化软硬件系统；</w:t>
            </w:r>
          </w:p>
          <w:p w:rsidR="00A97D36" w:rsidRPr="00A97D36" w:rsidRDefault="00A97D36" w:rsidP="00A97D36">
            <w:pPr>
              <w:rPr>
                <w:rFonts w:ascii="宋体" w:eastAsia="宋体" w:hAnsi="宋体" w:cs="Times New Roman"/>
                <w:color w:val="000000"/>
                <w:sz w:val="24"/>
                <w:szCs w:val="24"/>
              </w:rPr>
            </w:pPr>
            <w:r w:rsidRPr="00A97D36">
              <w:rPr>
                <w:rFonts w:ascii="宋体" w:eastAsia="宋体" w:hAnsi="宋体" w:cs="Times New Roman" w:hint="eastAsia"/>
                <w:color w:val="000000"/>
                <w:sz w:val="24"/>
                <w:szCs w:val="24"/>
              </w:rPr>
              <w:t>□与已经采购的设备、物资或信息化系统软件配套使用，且无法替代的产品；</w:t>
            </w:r>
          </w:p>
          <w:p w:rsidR="00A97D36" w:rsidRPr="00A97D36" w:rsidRDefault="00A97D36" w:rsidP="00A97D36">
            <w:pPr>
              <w:rPr>
                <w:rFonts w:ascii="宋体" w:eastAsia="宋体" w:hAnsi="宋体" w:cs="Times New Roman"/>
                <w:color w:val="000000"/>
                <w:sz w:val="24"/>
                <w:szCs w:val="24"/>
              </w:rPr>
            </w:pPr>
            <w:r w:rsidRPr="00A97D36">
              <w:rPr>
                <w:rFonts w:ascii="宋体" w:eastAsia="宋体" w:hAnsi="宋体" w:cs="Times New Roman" w:hint="eastAsia"/>
                <w:color w:val="000000"/>
                <w:sz w:val="24"/>
                <w:szCs w:val="24"/>
              </w:rPr>
              <w:t>□在用仪器设备，因后续维修或扩展功能所需的零配件或部件必须向原供应厂商购买的；</w:t>
            </w:r>
          </w:p>
          <w:p w:rsidR="00A97D36" w:rsidRPr="00A97D36" w:rsidRDefault="00A97D36" w:rsidP="00A97D36">
            <w:pPr>
              <w:rPr>
                <w:rFonts w:ascii="宋体" w:eastAsia="宋体" w:hAnsi="宋体" w:cs="Times New Roman"/>
                <w:color w:val="000000"/>
                <w:sz w:val="24"/>
                <w:szCs w:val="24"/>
              </w:rPr>
            </w:pPr>
            <w:r w:rsidRPr="00A97D36">
              <w:rPr>
                <w:rFonts w:ascii="宋体" w:eastAsia="宋体" w:hAnsi="宋体" w:cs="Times New Roman" w:hint="eastAsia"/>
                <w:color w:val="000000"/>
                <w:sz w:val="24"/>
                <w:szCs w:val="24"/>
              </w:rPr>
              <w:t>□批量教学设备，仅需部分更换且要求与原设备保持一致的；</w:t>
            </w:r>
          </w:p>
          <w:p w:rsidR="00A97D36" w:rsidRPr="00A97D36" w:rsidRDefault="00A97D36" w:rsidP="00A97D36">
            <w:pPr>
              <w:rPr>
                <w:rFonts w:ascii="宋体" w:eastAsia="宋体" w:hAnsi="宋体" w:cs="Times New Roman"/>
                <w:color w:val="000000"/>
                <w:sz w:val="24"/>
                <w:szCs w:val="24"/>
              </w:rPr>
            </w:pPr>
            <w:r w:rsidRPr="00A97D36">
              <w:rPr>
                <w:rFonts w:ascii="宋体" w:eastAsia="宋体" w:hAnsi="宋体" w:cs="Times New Roman" w:hint="eastAsia"/>
                <w:color w:val="000000"/>
                <w:sz w:val="24"/>
                <w:szCs w:val="24"/>
              </w:rPr>
              <w:t>□经相关部门批准的自制设备；</w:t>
            </w:r>
          </w:p>
          <w:p w:rsidR="00A97D36" w:rsidRPr="00A97D36" w:rsidRDefault="00A97D36" w:rsidP="00A97D36">
            <w:pPr>
              <w:rPr>
                <w:rFonts w:ascii="宋体" w:eastAsia="宋体" w:hAnsi="宋体" w:cs="Times New Roman"/>
                <w:color w:val="000000"/>
                <w:sz w:val="24"/>
                <w:szCs w:val="24"/>
              </w:rPr>
            </w:pPr>
            <w:r w:rsidRPr="00A97D36">
              <w:rPr>
                <w:rFonts w:ascii="宋体" w:eastAsia="宋体" w:hAnsi="宋体" w:cs="Times New Roman" w:hint="eastAsia"/>
                <w:color w:val="000000"/>
                <w:sz w:val="24"/>
                <w:szCs w:val="24"/>
              </w:rPr>
              <w:t>□在用信息系统，因改造升级、功能拓展、接口开发等必须由原供应商开发；</w:t>
            </w:r>
          </w:p>
          <w:p w:rsidR="00A97D36" w:rsidRPr="00A97D36" w:rsidRDefault="00A97D36" w:rsidP="00A97D36">
            <w:pPr>
              <w:rPr>
                <w:rFonts w:ascii="宋体" w:eastAsia="宋体" w:hAnsi="宋体" w:cs="Times New Roman"/>
                <w:color w:val="000000"/>
                <w:sz w:val="24"/>
                <w:szCs w:val="24"/>
              </w:rPr>
            </w:pPr>
            <w:r w:rsidRPr="00A97D36">
              <w:rPr>
                <w:rFonts w:ascii="宋体" w:eastAsia="宋体" w:hAnsi="宋体" w:cs="Times New Roman" w:hint="eastAsia"/>
                <w:color w:val="000000"/>
                <w:sz w:val="24"/>
                <w:szCs w:val="24"/>
              </w:rPr>
              <w:t>□供货渠道单一的图书、教材等文献资源（如：纸质中文报纸、古籍、特藏、重要手稿、抄本等）；</w:t>
            </w:r>
          </w:p>
          <w:p w:rsidR="00A97D36" w:rsidRPr="00A97D36" w:rsidRDefault="00A97D36" w:rsidP="00A97D36">
            <w:pPr>
              <w:rPr>
                <w:rFonts w:ascii="宋体" w:eastAsia="宋体" w:hAnsi="宋体" w:cs="Times New Roman"/>
                <w:color w:val="000000"/>
                <w:sz w:val="24"/>
                <w:szCs w:val="24"/>
              </w:rPr>
            </w:pPr>
            <w:r w:rsidRPr="00A97D36">
              <w:rPr>
                <w:rFonts w:ascii="宋体" w:eastAsia="宋体" w:hAnsi="宋体" w:cs="Times New Roman" w:hint="eastAsia"/>
                <w:color w:val="000000"/>
                <w:sz w:val="24"/>
                <w:szCs w:val="24"/>
              </w:rPr>
              <w:t>□涉密的采购项目。</w:t>
            </w:r>
          </w:p>
          <w:p w:rsidR="00A97D36" w:rsidRPr="00A97D36" w:rsidRDefault="00A97D36" w:rsidP="00A97D36">
            <w:pPr>
              <w:numPr>
                <w:ilvl w:val="0"/>
                <w:numId w:val="1"/>
              </w:numPr>
              <w:rPr>
                <w:rFonts w:ascii="宋体" w:eastAsia="宋体" w:hAnsi="宋体" w:cs="Times New Roman"/>
                <w:b/>
                <w:color w:val="000000"/>
                <w:sz w:val="24"/>
                <w:szCs w:val="24"/>
              </w:rPr>
            </w:pPr>
            <w:r w:rsidRPr="00A97D36">
              <w:rPr>
                <w:rFonts w:ascii="宋体" w:eastAsia="宋体" w:hAnsi="宋体" w:cs="Times New Roman" w:hint="eastAsia"/>
                <w:b/>
                <w:color w:val="000000"/>
                <w:sz w:val="24"/>
                <w:szCs w:val="24"/>
              </w:rPr>
              <w:t>类型二：发生了不可预见的紧急情况不能从其他供应商处采购：</w:t>
            </w:r>
          </w:p>
          <w:p w:rsidR="00A97D36" w:rsidRPr="00A97D36" w:rsidRDefault="00A97D36" w:rsidP="00A97D36">
            <w:pPr>
              <w:rPr>
                <w:rFonts w:ascii="宋体" w:eastAsia="宋体" w:hAnsi="宋体" w:cs="Times New Roman"/>
                <w:color w:val="000000"/>
                <w:sz w:val="24"/>
                <w:szCs w:val="24"/>
              </w:rPr>
            </w:pPr>
            <w:r w:rsidRPr="00A97D36">
              <w:rPr>
                <w:rFonts w:ascii="宋体" w:eastAsia="宋体" w:hAnsi="宋体" w:cs="Times New Roman" w:hint="eastAsia"/>
                <w:color w:val="000000"/>
                <w:sz w:val="24"/>
                <w:szCs w:val="24"/>
              </w:rPr>
              <w:t>□原有损坏需应急更换</w:t>
            </w:r>
          </w:p>
          <w:p w:rsidR="00A97D36" w:rsidRPr="00A97D36" w:rsidRDefault="00A97D36" w:rsidP="00A97D36">
            <w:pPr>
              <w:rPr>
                <w:rFonts w:ascii="宋体" w:eastAsia="宋体" w:hAnsi="宋体" w:cs="Times New Roman"/>
                <w:b/>
                <w:color w:val="000000"/>
                <w:sz w:val="24"/>
                <w:szCs w:val="24"/>
              </w:rPr>
            </w:pPr>
            <w:r w:rsidRPr="00A97D36">
              <w:rPr>
                <w:rFonts w:ascii="宋体" w:eastAsia="宋体" w:hAnsi="宋体" w:cs="Times New Roman" w:hint="eastAsia"/>
                <w:color w:val="000000"/>
                <w:sz w:val="24"/>
                <w:szCs w:val="24"/>
              </w:rPr>
              <w:t>□因严重自然灾害或其他不可抗力事件所实施的紧急、特殊类采购。</w:t>
            </w:r>
          </w:p>
          <w:p w:rsidR="00A97D36" w:rsidRPr="00A97D36" w:rsidRDefault="00A97D36" w:rsidP="00A97D36">
            <w:pPr>
              <w:numPr>
                <w:ilvl w:val="0"/>
                <w:numId w:val="1"/>
              </w:numPr>
              <w:rPr>
                <w:rFonts w:ascii="宋体" w:eastAsia="宋体" w:hAnsi="宋体" w:cs="Times New Roman"/>
                <w:b/>
                <w:color w:val="000000"/>
                <w:sz w:val="24"/>
                <w:szCs w:val="24"/>
              </w:rPr>
            </w:pPr>
            <w:r w:rsidRPr="00A97D36">
              <w:rPr>
                <w:rFonts w:ascii="宋体" w:eastAsia="宋体" w:hAnsi="宋体" w:cs="Times New Roman" w:hint="eastAsia"/>
                <w:b/>
                <w:color w:val="000000"/>
                <w:sz w:val="24"/>
                <w:szCs w:val="24"/>
              </w:rPr>
              <w:t>类型三：添购和续签</w:t>
            </w:r>
          </w:p>
          <w:p w:rsidR="00A97D36" w:rsidRPr="00A97D36" w:rsidRDefault="00A97D36" w:rsidP="00A97D36">
            <w:pPr>
              <w:rPr>
                <w:rFonts w:ascii="宋体" w:eastAsia="宋体" w:hAnsi="宋体" w:cs="Times New Roman"/>
                <w:b/>
                <w:color w:val="000000"/>
                <w:sz w:val="24"/>
                <w:szCs w:val="24"/>
              </w:rPr>
            </w:pPr>
            <w:r w:rsidRPr="00A97D36">
              <w:rPr>
                <w:rFonts w:ascii="宋体" w:eastAsia="宋体" w:hAnsi="宋体" w:cs="Times New Roman" w:hint="eastAsia"/>
                <w:color w:val="000000"/>
                <w:sz w:val="24"/>
                <w:szCs w:val="24"/>
              </w:rPr>
              <w:t>□必须保证原有采购项目一致性或者服务配套的要求，需要继续从原供应商处添购，且添购资金总额不超过原合同采购金额百分之十的</w:t>
            </w:r>
          </w:p>
          <w:p w:rsidR="00A97D36" w:rsidRPr="00A97D36" w:rsidRDefault="00A97D36" w:rsidP="00A97D36">
            <w:pPr>
              <w:rPr>
                <w:rFonts w:ascii="宋体" w:eastAsia="宋体" w:hAnsi="宋体" w:cs="Times New Roman"/>
                <w:color w:val="000000"/>
                <w:sz w:val="24"/>
                <w:szCs w:val="24"/>
              </w:rPr>
            </w:pPr>
            <w:r w:rsidRPr="00A97D36">
              <w:rPr>
                <w:rFonts w:ascii="宋体" w:eastAsia="宋体" w:hAnsi="宋体" w:cs="Times New Roman" w:hint="eastAsia"/>
                <w:color w:val="000000"/>
                <w:sz w:val="24"/>
                <w:szCs w:val="24"/>
              </w:rPr>
              <w:t>□固定期限的信息化运维服务或通用软件合同需要续签的，总年度不超三年。</w:t>
            </w:r>
          </w:p>
        </w:tc>
      </w:tr>
      <w:tr w:rsidR="00A97D36" w:rsidRPr="00A97D36">
        <w:trPr>
          <w:trHeight w:val="2835"/>
        </w:trPr>
        <w:tc>
          <w:tcPr>
            <w:tcW w:w="832"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项目概况</w:t>
            </w:r>
          </w:p>
        </w:tc>
        <w:tc>
          <w:tcPr>
            <w:tcW w:w="4168" w:type="pct"/>
            <w:gridSpan w:val="3"/>
            <w:vAlign w:val="center"/>
          </w:tcPr>
          <w:p w:rsidR="00A97D36" w:rsidRDefault="0019418E" w:rsidP="00A97D36">
            <w:pPr>
              <w:jc w:val="center"/>
            </w:pPr>
            <w:r>
              <w:rPr>
                <w:rFonts w:hint="eastAsia"/>
              </w:rPr>
              <w:t>用途：用于建立武器装备动力学数据库等，对数据库的操作与管理功能，实现数据库对象的创建、数据库存储数据的查询、添加、修改与删除操作和数据库的用户管理、权限管理等。</w:t>
            </w:r>
          </w:p>
          <w:p w:rsidR="0019418E" w:rsidRPr="00A97D36" w:rsidRDefault="0019418E" w:rsidP="0019418E">
            <w:pPr>
              <w:jc w:val="left"/>
              <w:rPr>
                <w:rFonts w:ascii="宋体" w:eastAsia="宋体" w:hAnsi="宋体" w:cs="Times New Roman"/>
                <w:sz w:val="24"/>
                <w:szCs w:val="24"/>
              </w:rPr>
            </w:pPr>
            <w:r>
              <w:rPr>
                <w:rFonts w:hint="eastAsia"/>
              </w:rPr>
              <w:t>技术指标：1）单表可支持大于2000列字段的表；2）支持单表分区数量为65535个；支持分区键包含多列，列数最多达到16列；3）具备高可靠性，支持闪回、完全备份、增量备份、差异备份、归档备份等功能；4）提供主流数据库迁移，</w:t>
            </w:r>
            <w:proofErr w:type="spellStart"/>
            <w:r>
              <w:rPr>
                <w:rFonts w:hint="eastAsia"/>
              </w:rPr>
              <w:t>sql</w:t>
            </w:r>
            <w:proofErr w:type="spellEnd"/>
            <w:r>
              <w:rPr>
                <w:rFonts w:hint="eastAsia"/>
              </w:rPr>
              <w:t>脚本、文件迁移等功能，支持图形化向导式完成迁移工作；5）在单表1亿条数据的情况下进行模糊检索，前后模糊查询的检索时间&lt;1ms，前模糊查询时间&lt;1ms,后模糊查询的时间&lt;1ms；6）单机单表支持140TB文本数据的存储；单机单表支持万亿行记录的存储；在基于140TB（万亿行记录数）数据的单表上，支持数据的</w:t>
            </w:r>
            <w:proofErr w:type="gramStart"/>
            <w:r>
              <w:rPr>
                <w:rFonts w:hint="eastAsia"/>
              </w:rPr>
              <w:t>增删改查操作</w:t>
            </w:r>
            <w:proofErr w:type="gramEnd"/>
            <w:r>
              <w:rPr>
                <w:rFonts w:hint="eastAsia"/>
              </w:rPr>
              <w:t>。</w:t>
            </w:r>
          </w:p>
        </w:tc>
      </w:tr>
      <w:tr w:rsidR="00A97D36" w:rsidRPr="00A97D36">
        <w:trPr>
          <w:trHeight w:val="3250"/>
        </w:trPr>
        <w:tc>
          <w:tcPr>
            <w:tcW w:w="832" w:type="pct"/>
            <w:vAlign w:val="center"/>
          </w:tcPr>
          <w:p w:rsidR="00A97D36" w:rsidRPr="0019418E" w:rsidRDefault="00A97D36" w:rsidP="00A97D36">
            <w:pPr>
              <w:jc w:val="center"/>
              <w:rPr>
                <w:color w:val="000000"/>
              </w:rPr>
            </w:pPr>
            <w:r w:rsidRPr="0019418E">
              <w:rPr>
                <w:rFonts w:hint="eastAsia"/>
                <w:color w:val="000000"/>
              </w:rPr>
              <w:lastRenderedPageBreak/>
              <w:t>单一来源采购的理由</w:t>
            </w:r>
          </w:p>
        </w:tc>
        <w:tc>
          <w:tcPr>
            <w:tcW w:w="4168" w:type="pct"/>
            <w:gridSpan w:val="3"/>
            <w:vAlign w:val="center"/>
          </w:tcPr>
          <w:p w:rsidR="00A97D36" w:rsidRDefault="00466D57" w:rsidP="0019418E">
            <w:pPr>
              <w:ind w:firstLineChars="200" w:firstLine="420"/>
              <w:rPr>
                <w:color w:val="000000"/>
              </w:rPr>
            </w:pPr>
            <w:r>
              <w:rPr>
                <w:noProof/>
              </w:rPr>
              <w:drawing>
                <wp:anchor distT="0" distB="0" distL="114300" distR="114300" simplePos="0" relativeHeight="251658240" behindDoc="0" locked="0" layoutInCell="1" allowOverlap="1">
                  <wp:simplePos x="0" y="0"/>
                  <wp:positionH relativeFrom="column">
                    <wp:posOffset>-1864995</wp:posOffset>
                  </wp:positionH>
                  <wp:positionV relativeFrom="paragraph">
                    <wp:posOffset>-599440</wp:posOffset>
                  </wp:positionV>
                  <wp:extent cx="7391400" cy="10361295"/>
                  <wp:effectExtent l="0" t="0" r="0" b="19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398" t="371" b="1"/>
                          <a:stretch/>
                        </pic:blipFill>
                        <pic:spPr bwMode="auto">
                          <a:xfrm>
                            <a:off x="0" y="0"/>
                            <a:ext cx="7391400" cy="103612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gramStart"/>
            <w:r w:rsidR="0019418E" w:rsidRPr="0019418E">
              <w:rPr>
                <w:rFonts w:hint="eastAsia"/>
                <w:color w:val="000000"/>
              </w:rPr>
              <w:t>达梦数据库管理系统</w:t>
            </w:r>
            <w:proofErr w:type="gramEnd"/>
            <w:r w:rsidR="0019418E" w:rsidRPr="0019418E">
              <w:rPr>
                <w:rFonts w:hint="eastAsia"/>
                <w:color w:val="000000"/>
              </w:rPr>
              <w:t>为</w:t>
            </w:r>
            <w:proofErr w:type="gramStart"/>
            <w:r w:rsidR="0019418E" w:rsidRPr="0034300F">
              <w:rPr>
                <w:rFonts w:hint="eastAsia"/>
                <w:color w:val="000000"/>
              </w:rPr>
              <w:t>武汉达梦数据库</w:t>
            </w:r>
            <w:proofErr w:type="gramEnd"/>
            <w:r w:rsidR="0019418E" w:rsidRPr="0034300F">
              <w:rPr>
                <w:rFonts w:hint="eastAsia"/>
                <w:color w:val="000000"/>
              </w:rPr>
              <w:t>股份有限公司</w:t>
            </w:r>
            <w:r w:rsidR="0019418E">
              <w:rPr>
                <w:rFonts w:hint="eastAsia"/>
                <w:color w:val="000000"/>
              </w:rPr>
              <w:t>开发的具有自主知识产权的数据库管理系统，其他商家无法替代。</w:t>
            </w:r>
            <w:proofErr w:type="gramStart"/>
            <w:r w:rsidR="0019418E" w:rsidRPr="0019418E">
              <w:rPr>
                <w:rFonts w:hint="eastAsia"/>
                <w:color w:val="000000"/>
              </w:rPr>
              <w:t>达梦数据库</w:t>
            </w:r>
            <w:proofErr w:type="gramEnd"/>
            <w:r w:rsidR="0019418E" w:rsidRPr="0019418E">
              <w:rPr>
                <w:rFonts w:hint="eastAsia"/>
                <w:color w:val="000000"/>
              </w:rPr>
              <w:t>提供了丰富的图形化工具，使用方式符合技术人员习惯，用户体验最好，提供了成熟的数据迁移工具，保证了迁移效率</w:t>
            </w:r>
            <w:r w:rsidR="0019418E">
              <w:rPr>
                <w:rFonts w:hint="eastAsia"/>
                <w:color w:val="000000"/>
              </w:rPr>
              <w:t>，</w:t>
            </w:r>
            <w:r w:rsidR="0019418E" w:rsidRPr="0019418E">
              <w:rPr>
                <w:rFonts w:hint="eastAsia"/>
                <w:color w:val="000000"/>
              </w:rPr>
              <w:t>实现了对Oracle语法的全面性兼容。</w:t>
            </w:r>
            <w:r w:rsidR="00A70EA6" w:rsidRPr="00A70EA6">
              <w:rPr>
                <w:rFonts w:hint="eastAsia"/>
                <w:color w:val="000000"/>
              </w:rPr>
              <w:t>达梦数据库是大型通用数据库管理系统，兼容多硬件体系，可运行于</w:t>
            </w:r>
            <w:r w:rsidR="00A70EA6" w:rsidRPr="00A70EA6">
              <w:rPr>
                <w:color w:val="000000"/>
              </w:rPr>
              <w:t>X86</w:t>
            </w:r>
            <w:r w:rsidR="00A70EA6" w:rsidRPr="00A70EA6">
              <w:rPr>
                <w:rFonts w:hint="eastAsia"/>
                <w:color w:val="000000"/>
              </w:rPr>
              <w:t>、</w:t>
            </w:r>
            <w:r w:rsidR="00A70EA6" w:rsidRPr="00A70EA6">
              <w:rPr>
                <w:color w:val="000000"/>
              </w:rPr>
              <w:t>SPARC</w:t>
            </w:r>
            <w:r w:rsidR="00A70EA6" w:rsidRPr="00A70EA6">
              <w:rPr>
                <w:rFonts w:hint="eastAsia"/>
                <w:color w:val="000000"/>
              </w:rPr>
              <w:t>、</w:t>
            </w:r>
            <w:r w:rsidR="00A70EA6" w:rsidRPr="00A70EA6">
              <w:rPr>
                <w:color w:val="000000"/>
              </w:rPr>
              <w:t>POWER</w:t>
            </w:r>
            <w:r w:rsidR="00A70EA6" w:rsidRPr="00A70EA6">
              <w:rPr>
                <w:rFonts w:hint="eastAsia"/>
                <w:color w:val="000000"/>
              </w:rPr>
              <w:t>等硬件体系之上。也能运行</w:t>
            </w:r>
            <w:proofErr w:type="gramStart"/>
            <w:r w:rsidR="00A70EA6" w:rsidRPr="00A70EA6">
              <w:rPr>
                <w:rFonts w:hint="eastAsia"/>
                <w:color w:val="000000"/>
              </w:rPr>
              <w:t>在龙芯系列</w:t>
            </w:r>
            <w:proofErr w:type="gramEnd"/>
            <w:r w:rsidR="00A70EA6" w:rsidRPr="00A70EA6">
              <w:rPr>
                <w:rFonts w:hint="eastAsia"/>
                <w:color w:val="000000"/>
              </w:rPr>
              <w:t>，飞腾系列，</w:t>
            </w:r>
            <w:proofErr w:type="gramStart"/>
            <w:r w:rsidR="00A70EA6" w:rsidRPr="00A70EA6">
              <w:rPr>
                <w:rFonts w:hint="eastAsia"/>
                <w:color w:val="000000"/>
              </w:rPr>
              <w:t>申威系列</w:t>
            </w:r>
            <w:proofErr w:type="gramEnd"/>
            <w:r w:rsidR="00A70EA6" w:rsidRPr="00A70EA6">
              <w:rPr>
                <w:rFonts w:hint="eastAsia"/>
                <w:color w:val="000000"/>
              </w:rPr>
              <w:t>，以及兆芯、华为、海光等多种不同</w:t>
            </w:r>
            <w:r w:rsidR="00A70EA6" w:rsidRPr="00A70EA6">
              <w:rPr>
                <w:color w:val="000000"/>
              </w:rPr>
              <w:t>CPU</w:t>
            </w:r>
            <w:r w:rsidR="00A70EA6" w:rsidRPr="00A70EA6">
              <w:rPr>
                <w:rFonts w:hint="eastAsia"/>
                <w:color w:val="000000"/>
              </w:rPr>
              <w:t>架构的服务器设备。兼容</w:t>
            </w:r>
            <w:r w:rsidR="00A70EA6" w:rsidRPr="00A70EA6">
              <w:rPr>
                <w:color w:val="000000"/>
              </w:rPr>
              <w:t>Windows</w:t>
            </w:r>
            <w:r w:rsidR="00A70EA6" w:rsidRPr="00A70EA6">
              <w:rPr>
                <w:rFonts w:hint="eastAsia"/>
                <w:color w:val="000000"/>
              </w:rPr>
              <w:t>系列、主流</w:t>
            </w:r>
            <w:r w:rsidR="00A70EA6" w:rsidRPr="00A70EA6">
              <w:rPr>
                <w:color w:val="000000"/>
              </w:rPr>
              <w:t>Linux</w:t>
            </w:r>
            <w:r w:rsidR="00A70EA6" w:rsidRPr="00A70EA6">
              <w:rPr>
                <w:rFonts w:hint="eastAsia"/>
                <w:color w:val="000000"/>
              </w:rPr>
              <w:t>发行分支如</w:t>
            </w:r>
            <w:r w:rsidR="00A70EA6" w:rsidRPr="00A70EA6">
              <w:rPr>
                <w:color w:val="000000"/>
              </w:rPr>
              <w:t>RedHat</w:t>
            </w:r>
            <w:r w:rsidR="00A70EA6" w:rsidRPr="00A70EA6">
              <w:rPr>
                <w:rFonts w:hint="eastAsia"/>
                <w:color w:val="000000"/>
              </w:rPr>
              <w:t>、</w:t>
            </w:r>
            <w:r w:rsidR="00A70EA6" w:rsidRPr="00A70EA6">
              <w:rPr>
                <w:color w:val="000000"/>
              </w:rPr>
              <w:t>Debian</w:t>
            </w:r>
            <w:r w:rsidR="00A70EA6" w:rsidRPr="00A70EA6">
              <w:rPr>
                <w:rFonts w:hint="eastAsia"/>
                <w:color w:val="000000"/>
              </w:rPr>
              <w:t>、</w:t>
            </w:r>
            <w:r w:rsidR="00A70EA6" w:rsidRPr="00A70EA6">
              <w:rPr>
                <w:color w:val="000000"/>
              </w:rPr>
              <w:t>Ubuntu</w:t>
            </w:r>
            <w:r w:rsidR="00A70EA6" w:rsidRPr="00A70EA6">
              <w:rPr>
                <w:rFonts w:hint="eastAsia"/>
                <w:color w:val="000000"/>
              </w:rPr>
              <w:t>、</w:t>
            </w:r>
            <w:r w:rsidR="00A70EA6" w:rsidRPr="00A70EA6">
              <w:rPr>
                <w:color w:val="000000"/>
              </w:rPr>
              <w:t>CentOS</w:t>
            </w:r>
            <w:r w:rsidR="00A70EA6" w:rsidRPr="00A70EA6">
              <w:rPr>
                <w:rFonts w:hint="eastAsia"/>
                <w:color w:val="000000"/>
              </w:rPr>
              <w:t>系列、</w:t>
            </w:r>
            <w:r w:rsidR="00A70EA6" w:rsidRPr="00A70EA6">
              <w:rPr>
                <w:color w:val="000000"/>
              </w:rPr>
              <w:t>Unix</w:t>
            </w:r>
            <w:r w:rsidR="00A70EA6" w:rsidRPr="00A70EA6">
              <w:rPr>
                <w:rFonts w:hint="eastAsia"/>
                <w:color w:val="000000"/>
              </w:rPr>
              <w:t>、</w:t>
            </w:r>
            <w:r w:rsidR="00A70EA6" w:rsidRPr="00A70EA6">
              <w:rPr>
                <w:color w:val="000000"/>
              </w:rPr>
              <w:t>AIX</w:t>
            </w:r>
            <w:r w:rsidR="00A70EA6" w:rsidRPr="00A70EA6">
              <w:rPr>
                <w:rFonts w:hint="eastAsia"/>
                <w:color w:val="000000"/>
              </w:rPr>
              <w:t>、</w:t>
            </w:r>
            <w:r w:rsidR="00A70EA6" w:rsidRPr="00A70EA6">
              <w:rPr>
                <w:color w:val="000000"/>
              </w:rPr>
              <w:t>Solaris</w:t>
            </w:r>
            <w:r w:rsidR="00A70EA6" w:rsidRPr="00A70EA6">
              <w:rPr>
                <w:rFonts w:hint="eastAsia"/>
                <w:color w:val="000000"/>
              </w:rPr>
              <w:t>等系列、中标麒麟、银河麒麟、中科方德、凝思、红旗、深之度、普华、思普等多种国产</w:t>
            </w:r>
            <w:r w:rsidR="00A70EA6" w:rsidRPr="00A70EA6">
              <w:rPr>
                <w:color w:val="000000"/>
              </w:rPr>
              <w:t>Linux</w:t>
            </w:r>
            <w:r w:rsidR="00A70EA6" w:rsidRPr="00A70EA6">
              <w:rPr>
                <w:rFonts w:hint="eastAsia"/>
                <w:color w:val="000000"/>
              </w:rPr>
              <w:t>系列操作系统。</w:t>
            </w:r>
            <w:r w:rsidR="0019418E" w:rsidRPr="0019418E">
              <w:rPr>
                <w:color w:val="000000"/>
              </w:rPr>
              <w:t>该工具</w:t>
            </w:r>
            <w:r w:rsidR="0019418E" w:rsidRPr="0019418E">
              <w:rPr>
                <w:rFonts w:hint="eastAsia"/>
                <w:color w:val="000000"/>
              </w:rPr>
              <w:t>已在</w:t>
            </w:r>
            <w:r w:rsidR="0019418E" w:rsidRPr="0019418E">
              <w:rPr>
                <w:color w:val="000000"/>
              </w:rPr>
              <w:t>航空</w:t>
            </w:r>
            <w:r w:rsidR="0019418E" w:rsidRPr="0019418E">
              <w:rPr>
                <w:rFonts w:hint="eastAsia"/>
                <w:color w:val="000000"/>
              </w:rPr>
              <w:t>、</w:t>
            </w:r>
            <w:r w:rsidR="0019418E" w:rsidRPr="0019418E">
              <w:rPr>
                <w:color w:val="000000"/>
              </w:rPr>
              <w:t>航天</w:t>
            </w:r>
            <w:r w:rsidR="0019418E" w:rsidRPr="0019418E">
              <w:rPr>
                <w:rFonts w:hint="eastAsia"/>
                <w:color w:val="000000"/>
              </w:rPr>
              <w:t>、电子、船舶、兵器等领域多家单位成功应用，在该技术领域处于先进水平。</w:t>
            </w:r>
          </w:p>
          <w:p w:rsidR="0063688D" w:rsidRDefault="0063688D" w:rsidP="0019418E">
            <w:pPr>
              <w:ind w:firstLineChars="200" w:firstLine="420"/>
              <w:rPr>
                <w:color w:val="000000"/>
              </w:rPr>
            </w:pPr>
            <w:proofErr w:type="gramStart"/>
            <w:r w:rsidRPr="0034300F">
              <w:rPr>
                <w:rFonts w:hint="eastAsia"/>
                <w:color w:val="000000"/>
              </w:rPr>
              <w:t>武汉达梦数据库</w:t>
            </w:r>
            <w:proofErr w:type="gramEnd"/>
            <w:r w:rsidRPr="0034300F">
              <w:rPr>
                <w:rFonts w:hint="eastAsia"/>
                <w:color w:val="000000"/>
              </w:rPr>
              <w:t>股份有限公司</w:t>
            </w:r>
            <w:r w:rsidRPr="0063688D">
              <w:rPr>
                <w:rFonts w:hint="eastAsia"/>
                <w:color w:val="000000"/>
              </w:rPr>
              <w:t>拥有专业的技术服务人员、丰富的技术服务经验和完善的技术服务体系，公司先后引入了ITSS二级、ISO20000、GB/T 27922五星级标准建立了信息技术服务管理体系，并通过了相关服务体系认证。</w:t>
            </w:r>
            <w:r w:rsidR="00A70EA6" w:rsidRPr="00A70EA6">
              <w:rPr>
                <w:rFonts w:hint="eastAsia"/>
                <w:color w:val="000000"/>
              </w:rPr>
              <w:t>连续多年获得国家重点新产品称号和国家推荐优秀软件称号，连续十年取得国产关系型数据库销量第一。</w:t>
            </w:r>
          </w:p>
          <w:p w:rsidR="0019418E" w:rsidRPr="0019418E" w:rsidRDefault="0019418E" w:rsidP="0019418E">
            <w:pPr>
              <w:ind w:firstLineChars="200" w:firstLine="420"/>
              <w:rPr>
                <w:color w:val="000000"/>
              </w:rPr>
            </w:pPr>
            <w:r>
              <w:rPr>
                <w:rFonts w:hint="eastAsia"/>
                <w:color w:val="000000"/>
              </w:rPr>
              <w:t>因此，拟采用</w:t>
            </w:r>
            <w:r w:rsidRPr="0019418E">
              <w:rPr>
                <w:rFonts w:hint="eastAsia"/>
                <w:color w:val="000000"/>
              </w:rPr>
              <w:t>单一来源采购方式采购达梦数据库管理系统</w:t>
            </w:r>
            <w:r>
              <w:rPr>
                <w:rFonts w:hint="eastAsia"/>
                <w:color w:val="000000"/>
              </w:rPr>
              <w:t>。</w:t>
            </w:r>
          </w:p>
        </w:tc>
      </w:tr>
      <w:tr w:rsidR="00A97D36" w:rsidRPr="00A97D36">
        <w:trPr>
          <w:trHeight w:val="2107"/>
        </w:trPr>
        <w:tc>
          <w:tcPr>
            <w:tcW w:w="832"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专家</w:t>
            </w:r>
            <w:r w:rsidRPr="00A97D36">
              <w:rPr>
                <w:rFonts w:ascii="宋体" w:eastAsia="宋体" w:hAnsi="宋体" w:cs="Times New Roman"/>
                <w:b/>
                <w:sz w:val="24"/>
                <w:szCs w:val="24"/>
              </w:rPr>
              <w:t>1</w:t>
            </w:r>
          </w:p>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论证意见</w:t>
            </w:r>
          </w:p>
        </w:tc>
        <w:tc>
          <w:tcPr>
            <w:tcW w:w="4168" w:type="pct"/>
            <w:gridSpan w:val="3"/>
            <w:vAlign w:val="center"/>
          </w:tcPr>
          <w:p w:rsidR="00A97D36" w:rsidRPr="00A97D36" w:rsidRDefault="00A97D36" w:rsidP="00A97D36">
            <w:pPr>
              <w:jc w:val="center"/>
              <w:rPr>
                <w:rFonts w:ascii="宋体" w:eastAsia="宋体" w:hAnsi="宋体" w:cs="Times New Roman"/>
                <w:sz w:val="32"/>
                <w:szCs w:val="32"/>
              </w:rPr>
            </w:pPr>
          </w:p>
          <w:p w:rsidR="00A97D36" w:rsidRPr="00A97D36" w:rsidRDefault="00A97D36" w:rsidP="00A97D36">
            <w:pPr>
              <w:jc w:val="center"/>
              <w:rPr>
                <w:rFonts w:ascii="宋体" w:eastAsia="宋体" w:hAnsi="宋体" w:cs="Times New Roman"/>
                <w:sz w:val="32"/>
                <w:szCs w:val="32"/>
              </w:rPr>
            </w:pPr>
          </w:p>
          <w:p w:rsidR="00A97D36" w:rsidRPr="00A97D36" w:rsidRDefault="00A97D36" w:rsidP="00A97D36">
            <w:pPr>
              <w:jc w:val="center"/>
              <w:rPr>
                <w:rFonts w:ascii="宋体" w:eastAsia="宋体" w:hAnsi="宋体" w:cs="Times New Roman"/>
                <w:sz w:val="32"/>
                <w:szCs w:val="32"/>
              </w:rPr>
            </w:pPr>
          </w:p>
          <w:p w:rsidR="00A97D36" w:rsidRPr="00A97D36" w:rsidRDefault="00A97D36" w:rsidP="00A97D36">
            <w:pPr>
              <w:jc w:val="center"/>
              <w:rPr>
                <w:rFonts w:ascii="宋体" w:eastAsia="宋体" w:hAnsi="宋体" w:cs="Times New Roman"/>
                <w:sz w:val="32"/>
                <w:szCs w:val="32"/>
              </w:rPr>
            </w:pPr>
            <w:r w:rsidRPr="00A97D36">
              <w:rPr>
                <w:rFonts w:ascii="宋体" w:eastAsia="宋体" w:hAnsi="宋体" w:cs="Times New Roman" w:hint="eastAsia"/>
                <w:sz w:val="24"/>
                <w:szCs w:val="24"/>
              </w:rPr>
              <w:t>专家姓名</w:t>
            </w:r>
            <w:r w:rsidRPr="00A97D36">
              <w:rPr>
                <w:rFonts w:ascii="宋体" w:eastAsia="宋体" w:hAnsi="宋体" w:cs="Times New Roman"/>
                <w:sz w:val="24"/>
                <w:szCs w:val="24"/>
              </w:rPr>
              <w:t xml:space="preserve">                  </w:t>
            </w:r>
            <w:r w:rsidRPr="00A97D36">
              <w:rPr>
                <w:rFonts w:ascii="宋体" w:eastAsia="宋体" w:hAnsi="宋体" w:cs="Times New Roman" w:hint="eastAsia"/>
                <w:sz w:val="24"/>
                <w:szCs w:val="24"/>
              </w:rPr>
              <w:t>工作单位</w:t>
            </w:r>
          </w:p>
          <w:p w:rsidR="00A97D36" w:rsidRPr="00A97D36" w:rsidRDefault="00A97D36" w:rsidP="00A97D36">
            <w:pPr>
              <w:jc w:val="center"/>
              <w:rPr>
                <w:rFonts w:ascii="宋体" w:eastAsia="宋体" w:hAnsi="宋体" w:cs="Times New Roman"/>
                <w:sz w:val="24"/>
                <w:szCs w:val="24"/>
              </w:rPr>
            </w:pPr>
            <w:r w:rsidRPr="00A97D36">
              <w:rPr>
                <w:rFonts w:ascii="宋体" w:eastAsia="宋体" w:hAnsi="宋体" w:cs="Times New Roman" w:hint="eastAsia"/>
                <w:sz w:val="24"/>
                <w:szCs w:val="24"/>
              </w:rPr>
              <w:t>职称</w:t>
            </w:r>
            <w:r w:rsidRPr="00A97D36">
              <w:rPr>
                <w:rFonts w:ascii="宋体" w:eastAsia="宋体" w:hAnsi="宋体" w:cs="Times New Roman"/>
                <w:sz w:val="24"/>
                <w:szCs w:val="24"/>
              </w:rPr>
              <w:t xml:space="preserve">                      </w:t>
            </w:r>
            <w:r w:rsidRPr="00A97D36">
              <w:rPr>
                <w:rFonts w:ascii="宋体" w:eastAsia="宋体" w:hAnsi="宋体" w:cs="Times New Roman" w:hint="eastAsia"/>
                <w:sz w:val="24"/>
                <w:szCs w:val="24"/>
              </w:rPr>
              <w:t>联系电话</w:t>
            </w:r>
          </w:p>
        </w:tc>
      </w:tr>
      <w:tr w:rsidR="00A97D36" w:rsidRPr="00A97D36">
        <w:trPr>
          <w:trHeight w:val="2014"/>
        </w:trPr>
        <w:tc>
          <w:tcPr>
            <w:tcW w:w="832"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专家</w:t>
            </w:r>
            <w:r w:rsidRPr="00A97D36">
              <w:rPr>
                <w:rFonts w:ascii="宋体" w:eastAsia="宋体" w:hAnsi="宋体" w:cs="Times New Roman"/>
                <w:b/>
                <w:sz w:val="24"/>
                <w:szCs w:val="24"/>
              </w:rPr>
              <w:t>2</w:t>
            </w:r>
          </w:p>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论证意见</w:t>
            </w:r>
          </w:p>
        </w:tc>
        <w:tc>
          <w:tcPr>
            <w:tcW w:w="4168" w:type="pct"/>
            <w:gridSpan w:val="3"/>
            <w:vAlign w:val="center"/>
          </w:tcPr>
          <w:p w:rsidR="00A97D36" w:rsidRPr="00A97D36" w:rsidRDefault="00A97D36" w:rsidP="00A97D36">
            <w:pPr>
              <w:jc w:val="center"/>
              <w:rPr>
                <w:rFonts w:ascii="宋体" w:eastAsia="宋体" w:hAnsi="宋体" w:cs="Times New Roman"/>
                <w:sz w:val="32"/>
                <w:szCs w:val="32"/>
              </w:rPr>
            </w:pPr>
          </w:p>
          <w:p w:rsidR="00A97D36" w:rsidRPr="00A97D36" w:rsidRDefault="00A97D36" w:rsidP="00A97D36">
            <w:pPr>
              <w:jc w:val="center"/>
              <w:rPr>
                <w:rFonts w:ascii="宋体" w:eastAsia="宋体" w:hAnsi="宋体" w:cs="Times New Roman"/>
                <w:sz w:val="32"/>
                <w:szCs w:val="32"/>
              </w:rPr>
            </w:pPr>
          </w:p>
          <w:p w:rsidR="00A97D36" w:rsidRPr="00A97D36" w:rsidRDefault="00A97D36" w:rsidP="00A97D36">
            <w:pPr>
              <w:jc w:val="center"/>
              <w:rPr>
                <w:rFonts w:ascii="宋体" w:eastAsia="宋体" w:hAnsi="宋体" w:cs="Times New Roman"/>
                <w:sz w:val="32"/>
                <w:szCs w:val="32"/>
              </w:rPr>
            </w:pPr>
          </w:p>
          <w:p w:rsidR="00A97D36" w:rsidRPr="00A97D36" w:rsidRDefault="00A97D36" w:rsidP="00A97D36">
            <w:pPr>
              <w:jc w:val="center"/>
              <w:rPr>
                <w:rFonts w:ascii="宋体" w:eastAsia="宋体" w:hAnsi="宋体" w:cs="Times New Roman"/>
                <w:sz w:val="32"/>
                <w:szCs w:val="32"/>
              </w:rPr>
            </w:pPr>
            <w:r w:rsidRPr="00A97D36">
              <w:rPr>
                <w:rFonts w:ascii="宋体" w:eastAsia="宋体" w:hAnsi="宋体" w:cs="Times New Roman" w:hint="eastAsia"/>
                <w:sz w:val="24"/>
                <w:szCs w:val="24"/>
              </w:rPr>
              <w:t>专家姓名</w:t>
            </w:r>
            <w:r w:rsidRPr="00A97D36">
              <w:rPr>
                <w:rFonts w:ascii="宋体" w:eastAsia="宋体" w:hAnsi="宋体" w:cs="Times New Roman"/>
                <w:sz w:val="24"/>
                <w:szCs w:val="24"/>
              </w:rPr>
              <w:t xml:space="preserve">                  </w:t>
            </w:r>
            <w:r w:rsidRPr="00A97D36">
              <w:rPr>
                <w:rFonts w:ascii="宋体" w:eastAsia="宋体" w:hAnsi="宋体" w:cs="Times New Roman" w:hint="eastAsia"/>
                <w:sz w:val="24"/>
                <w:szCs w:val="24"/>
              </w:rPr>
              <w:t>工作单位</w:t>
            </w:r>
          </w:p>
          <w:p w:rsidR="00A97D36" w:rsidRPr="00A97D36" w:rsidRDefault="00A97D36" w:rsidP="00A97D36">
            <w:pPr>
              <w:jc w:val="center"/>
              <w:rPr>
                <w:rFonts w:ascii="宋体" w:eastAsia="宋体" w:hAnsi="宋体" w:cs="Times New Roman"/>
                <w:sz w:val="24"/>
                <w:szCs w:val="24"/>
              </w:rPr>
            </w:pPr>
            <w:r w:rsidRPr="00A97D36">
              <w:rPr>
                <w:rFonts w:ascii="宋体" w:eastAsia="宋体" w:hAnsi="宋体" w:cs="Times New Roman" w:hint="eastAsia"/>
                <w:sz w:val="24"/>
                <w:szCs w:val="24"/>
              </w:rPr>
              <w:t>职称</w:t>
            </w:r>
            <w:r w:rsidRPr="00A97D36">
              <w:rPr>
                <w:rFonts w:ascii="宋体" w:eastAsia="宋体" w:hAnsi="宋体" w:cs="Times New Roman"/>
                <w:sz w:val="24"/>
                <w:szCs w:val="24"/>
              </w:rPr>
              <w:t xml:space="preserve">                      </w:t>
            </w:r>
            <w:r w:rsidRPr="00A97D36">
              <w:rPr>
                <w:rFonts w:ascii="宋体" w:eastAsia="宋体" w:hAnsi="宋体" w:cs="Times New Roman" w:hint="eastAsia"/>
                <w:sz w:val="24"/>
                <w:szCs w:val="24"/>
              </w:rPr>
              <w:t>联系电话</w:t>
            </w:r>
          </w:p>
        </w:tc>
      </w:tr>
      <w:tr w:rsidR="00A97D36" w:rsidRPr="00A97D36">
        <w:trPr>
          <w:trHeight w:val="131"/>
        </w:trPr>
        <w:tc>
          <w:tcPr>
            <w:tcW w:w="832"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专家</w:t>
            </w:r>
            <w:r w:rsidRPr="00A97D36">
              <w:rPr>
                <w:rFonts w:ascii="宋体" w:eastAsia="宋体" w:hAnsi="宋体" w:cs="Times New Roman"/>
                <w:b/>
                <w:sz w:val="24"/>
                <w:szCs w:val="24"/>
              </w:rPr>
              <w:t>3</w:t>
            </w:r>
          </w:p>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论证意见</w:t>
            </w:r>
          </w:p>
        </w:tc>
        <w:tc>
          <w:tcPr>
            <w:tcW w:w="4168" w:type="pct"/>
            <w:gridSpan w:val="3"/>
            <w:vAlign w:val="center"/>
          </w:tcPr>
          <w:p w:rsidR="00A97D36" w:rsidRPr="00A97D36" w:rsidRDefault="00A97D36" w:rsidP="00A97D36">
            <w:pPr>
              <w:jc w:val="center"/>
              <w:rPr>
                <w:rFonts w:ascii="宋体" w:eastAsia="宋体" w:hAnsi="宋体" w:cs="Times New Roman"/>
                <w:sz w:val="32"/>
                <w:szCs w:val="32"/>
              </w:rPr>
            </w:pPr>
          </w:p>
          <w:p w:rsidR="00A97D36" w:rsidRPr="00A97D36" w:rsidRDefault="00A97D36" w:rsidP="00A97D36">
            <w:pPr>
              <w:jc w:val="center"/>
              <w:rPr>
                <w:rFonts w:ascii="宋体" w:eastAsia="宋体" w:hAnsi="宋体" w:cs="Times New Roman"/>
                <w:sz w:val="32"/>
                <w:szCs w:val="32"/>
              </w:rPr>
            </w:pPr>
          </w:p>
          <w:p w:rsidR="00A97D36" w:rsidRPr="00A97D36" w:rsidRDefault="00A97D36" w:rsidP="00A97D36">
            <w:pPr>
              <w:jc w:val="center"/>
              <w:rPr>
                <w:rFonts w:ascii="宋体" w:eastAsia="宋体" w:hAnsi="宋体" w:cs="Times New Roman"/>
                <w:sz w:val="32"/>
                <w:szCs w:val="32"/>
              </w:rPr>
            </w:pPr>
          </w:p>
          <w:p w:rsidR="00A97D36" w:rsidRPr="00A97D36" w:rsidRDefault="00A97D36" w:rsidP="00A97D36">
            <w:pPr>
              <w:jc w:val="center"/>
              <w:rPr>
                <w:rFonts w:ascii="宋体" w:eastAsia="宋体" w:hAnsi="宋体" w:cs="Times New Roman"/>
                <w:sz w:val="32"/>
                <w:szCs w:val="32"/>
              </w:rPr>
            </w:pPr>
            <w:r w:rsidRPr="00A97D36">
              <w:rPr>
                <w:rFonts w:ascii="宋体" w:eastAsia="宋体" w:hAnsi="宋体" w:cs="Times New Roman" w:hint="eastAsia"/>
                <w:sz w:val="24"/>
                <w:szCs w:val="24"/>
              </w:rPr>
              <w:t>专家姓名</w:t>
            </w:r>
            <w:r w:rsidRPr="00A97D36">
              <w:rPr>
                <w:rFonts w:ascii="宋体" w:eastAsia="宋体" w:hAnsi="宋体" w:cs="Times New Roman"/>
                <w:sz w:val="24"/>
                <w:szCs w:val="24"/>
              </w:rPr>
              <w:t xml:space="preserve">                  </w:t>
            </w:r>
            <w:r w:rsidRPr="00A97D36">
              <w:rPr>
                <w:rFonts w:ascii="宋体" w:eastAsia="宋体" w:hAnsi="宋体" w:cs="Times New Roman" w:hint="eastAsia"/>
                <w:sz w:val="24"/>
                <w:szCs w:val="24"/>
              </w:rPr>
              <w:t>工作单位</w:t>
            </w:r>
          </w:p>
          <w:p w:rsidR="00A97D36" w:rsidRPr="00A97D36" w:rsidRDefault="00A97D36" w:rsidP="00A97D36">
            <w:pPr>
              <w:jc w:val="center"/>
              <w:rPr>
                <w:rFonts w:ascii="宋体" w:eastAsia="宋体" w:hAnsi="宋体" w:cs="Times New Roman"/>
                <w:sz w:val="24"/>
                <w:szCs w:val="24"/>
              </w:rPr>
            </w:pPr>
            <w:r w:rsidRPr="00A97D36">
              <w:rPr>
                <w:rFonts w:ascii="宋体" w:eastAsia="宋体" w:hAnsi="宋体" w:cs="Times New Roman" w:hint="eastAsia"/>
                <w:sz w:val="24"/>
                <w:szCs w:val="24"/>
              </w:rPr>
              <w:t>职称</w:t>
            </w:r>
            <w:r w:rsidRPr="00A97D36">
              <w:rPr>
                <w:rFonts w:ascii="宋体" w:eastAsia="宋体" w:hAnsi="宋体" w:cs="Times New Roman"/>
                <w:sz w:val="24"/>
                <w:szCs w:val="24"/>
              </w:rPr>
              <w:t xml:space="preserve">                      </w:t>
            </w:r>
            <w:r w:rsidRPr="00A97D36">
              <w:rPr>
                <w:rFonts w:ascii="宋体" w:eastAsia="宋体" w:hAnsi="宋体" w:cs="Times New Roman" w:hint="eastAsia"/>
                <w:sz w:val="24"/>
                <w:szCs w:val="24"/>
              </w:rPr>
              <w:t>联系电话</w:t>
            </w:r>
          </w:p>
        </w:tc>
      </w:tr>
      <w:tr w:rsidR="00A97D36" w:rsidRPr="00A97D36">
        <w:trPr>
          <w:trHeight w:val="1815"/>
        </w:trPr>
        <w:tc>
          <w:tcPr>
            <w:tcW w:w="832"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学院分管领导（或分管校领导）签字</w:t>
            </w:r>
          </w:p>
        </w:tc>
        <w:tc>
          <w:tcPr>
            <w:tcW w:w="4168" w:type="pct"/>
            <w:gridSpan w:val="3"/>
            <w:vAlign w:val="center"/>
          </w:tcPr>
          <w:p w:rsidR="00A97D36" w:rsidRPr="00A97D36" w:rsidRDefault="00A97D36" w:rsidP="00A97D36">
            <w:pPr>
              <w:jc w:val="center"/>
              <w:rPr>
                <w:rFonts w:ascii="宋体" w:eastAsia="宋体" w:hAnsi="宋体" w:cs="Times New Roman"/>
                <w:sz w:val="32"/>
                <w:szCs w:val="32"/>
              </w:rPr>
            </w:pPr>
          </w:p>
        </w:tc>
      </w:tr>
    </w:tbl>
    <w:p w:rsidR="0053674A" w:rsidRPr="00A97D36" w:rsidRDefault="00854A4F" w:rsidP="00A97D36">
      <w:r>
        <w:rPr>
          <w:rFonts w:ascii="仿宋" w:eastAsia="仿宋" w:hAnsi="仿宋" w:cs="Times New Roman" w:hint="eastAsia"/>
          <w:b/>
          <w:sz w:val="24"/>
          <w:szCs w:val="24"/>
        </w:rPr>
        <w:t xml:space="preserve"> </w:t>
      </w:r>
    </w:p>
    <w:sectPr w:rsidR="0053674A" w:rsidRPr="00A97D36" w:rsidSect="001011C4">
      <w:pgSz w:w="11906" w:h="16838"/>
      <w:pgMar w:top="1134" w:right="567" w:bottom="1560"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0C75" w:rsidRDefault="00F20C75" w:rsidP="00773E3A">
      <w:r>
        <w:separator/>
      </w:r>
    </w:p>
  </w:endnote>
  <w:endnote w:type="continuationSeparator" w:id="0">
    <w:p w:rsidR="00F20C75" w:rsidRDefault="00F20C75" w:rsidP="00773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0C75" w:rsidRDefault="00F20C75" w:rsidP="00773E3A">
      <w:r>
        <w:separator/>
      </w:r>
    </w:p>
  </w:footnote>
  <w:footnote w:type="continuationSeparator" w:id="0">
    <w:p w:rsidR="00F20C75" w:rsidRDefault="00F20C75" w:rsidP="00773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96730"/>
    <w:multiLevelType w:val="hybridMultilevel"/>
    <w:tmpl w:val="4D296730"/>
    <w:lvl w:ilvl="0" w:tplc="FFFFFFFF">
      <w:start w:val="1"/>
      <w:numFmt w:val="bullet"/>
      <w:lvlText w:val=""/>
      <w:lvlJc w:val="left"/>
      <w:pPr>
        <w:ind w:left="420" w:hanging="420"/>
      </w:pPr>
      <w:rPr>
        <w:rFonts w:ascii="Wingdings" w:eastAsia="等线" w:hAnsi="Wingdings"/>
      </w:rPr>
    </w:lvl>
    <w:lvl w:ilvl="1" w:tplc="FFFFFFFF">
      <w:start w:val="1"/>
      <w:numFmt w:val="bullet"/>
      <w:lvlText w:val=""/>
      <w:lvlJc w:val="left"/>
      <w:pPr>
        <w:ind w:left="840" w:hanging="420"/>
      </w:pPr>
      <w:rPr>
        <w:rFonts w:ascii="Wingdings" w:eastAsia="等线" w:hAnsi="Wingdings"/>
      </w:rPr>
    </w:lvl>
    <w:lvl w:ilvl="2" w:tplc="FFFFFFFF">
      <w:start w:val="1"/>
      <w:numFmt w:val="bullet"/>
      <w:lvlText w:val=""/>
      <w:lvlJc w:val="left"/>
      <w:pPr>
        <w:ind w:left="1260" w:hanging="420"/>
      </w:pPr>
      <w:rPr>
        <w:rFonts w:ascii="Wingdings" w:eastAsia="等线" w:hAnsi="Wingdings"/>
      </w:rPr>
    </w:lvl>
    <w:lvl w:ilvl="3" w:tplc="FFFFFFFF">
      <w:start w:val="1"/>
      <w:numFmt w:val="bullet"/>
      <w:lvlText w:val=""/>
      <w:lvlJc w:val="left"/>
      <w:pPr>
        <w:ind w:left="1680" w:hanging="420"/>
      </w:pPr>
      <w:rPr>
        <w:rFonts w:ascii="Wingdings" w:eastAsia="等线" w:hAnsi="Wingdings"/>
      </w:rPr>
    </w:lvl>
    <w:lvl w:ilvl="4" w:tplc="FFFFFFFF">
      <w:start w:val="1"/>
      <w:numFmt w:val="bullet"/>
      <w:lvlText w:val=""/>
      <w:lvlJc w:val="left"/>
      <w:pPr>
        <w:ind w:left="2100" w:hanging="420"/>
      </w:pPr>
      <w:rPr>
        <w:rFonts w:ascii="Wingdings" w:eastAsia="等线" w:hAnsi="Wingdings"/>
      </w:rPr>
    </w:lvl>
    <w:lvl w:ilvl="5" w:tplc="FFFFFFFF">
      <w:start w:val="1"/>
      <w:numFmt w:val="bullet"/>
      <w:lvlText w:val=""/>
      <w:lvlJc w:val="left"/>
      <w:pPr>
        <w:ind w:left="2520" w:hanging="420"/>
      </w:pPr>
      <w:rPr>
        <w:rFonts w:ascii="Wingdings" w:eastAsia="等线" w:hAnsi="Wingdings"/>
      </w:rPr>
    </w:lvl>
    <w:lvl w:ilvl="6" w:tplc="FFFFFFFF">
      <w:start w:val="1"/>
      <w:numFmt w:val="bullet"/>
      <w:lvlText w:val=""/>
      <w:lvlJc w:val="left"/>
      <w:pPr>
        <w:ind w:left="2940" w:hanging="420"/>
      </w:pPr>
      <w:rPr>
        <w:rFonts w:ascii="Wingdings" w:eastAsia="等线" w:hAnsi="Wingdings"/>
      </w:rPr>
    </w:lvl>
    <w:lvl w:ilvl="7" w:tplc="FFFFFFFF">
      <w:start w:val="1"/>
      <w:numFmt w:val="bullet"/>
      <w:lvlText w:val=""/>
      <w:lvlJc w:val="left"/>
      <w:pPr>
        <w:ind w:left="3360" w:hanging="420"/>
      </w:pPr>
      <w:rPr>
        <w:rFonts w:ascii="Wingdings" w:eastAsia="等线" w:hAnsi="Wingdings"/>
      </w:rPr>
    </w:lvl>
    <w:lvl w:ilvl="8" w:tplc="FFFFFFFF">
      <w:start w:val="1"/>
      <w:numFmt w:val="bullet"/>
      <w:lvlText w:val=""/>
      <w:lvlJc w:val="left"/>
      <w:pPr>
        <w:ind w:left="3780" w:hanging="420"/>
      </w:pPr>
      <w:rPr>
        <w:rFonts w:ascii="Wingdings" w:eastAsia="等线" w:hAnsi="Wingdings"/>
      </w:rPr>
    </w:lvl>
  </w:abstractNum>
  <w:num w:numId="1" w16cid:durableId="2033335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1C7"/>
    <w:rsid w:val="000664AE"/>
    <w:rsid w:val="00090F0A"/>
    <w:rsid w:val="000E113F"/>
    <w:rsid w:val="00110E9B"/>
    <w:rsid w:val="0019418E"/>
    <w:rsid w:val="00204513"/>
    <w:rsid w:val="002627BF"/>
    <w:rsid w:val="002C6B8E"/>
    <w:rsid w:val="00374F34"/>
    <w:rsid w:val="00466D57"/>
    <w:rsid w:val="0051236B"/>
    <w:rsid w:val="0053674A"/>
    <w:rsid w:val="0056231A"/>
    <w:rsid w:val="0063688D"/>
    <w:rsid w:val="006E20C5"/>
    <w:rsid w:val="00707DC0"/>
    <w:rsid w:val="00773E3A"/>
    <w:rsid w:val="0085024A"/>
    <w:rsid w:val="00854A4F"/>
    <w:rsid w:val="008E3A6C"/>
    <w:rsid w:val="008E4C28"/>
    <w:rsid w:val="009411C7"/>
    <w:rsid w:val="00A06F98"/>
    <w:rsid w:val="00A53A5B"/>
    <w:rsid w:val="00A70EA6"/>
    <w:rsid w:val="00A97D36"/>
    <w:rsid w:val="00A97F63"/>
    <w:rsid w:val="00B57C99"/>
    <w:rsid w:val="00BB485E"/>
    <w:rsid w:val="00C577F7"/>
    <w:rsid w:val="00CB721E"/>
    <w:rsid w:val="00CF1312"/>
    <w:rsid w:val="00D85EB6"/>
    <w:rsid w:val="00DB6F09"/>
    <w:rsid w:val="00EC61BB"/>
    <w:rsid w:val="00F20C75"/>
    <w:rsid w:val="00F32130"/>
    <w:rsid w:val="00F50F71"/>
    <w:rsid w:val="00F61705"/>
    <w:rsid w:val="00F714D7"/>
    <w:rsid w:val="00F76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9DA46"/>
  <w15:docId w15:val="{1CB51DD5-4B63-46D1-99F7-EFF44895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3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3E3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73E3A"/>
    <w:rPr>
      <w:sz w:val="18"/>
      <w:szCs w:val="18"/>
    </w:rPr>
  </w:style>
  <w:style w:type="paragraph" w:styleId="a6">
    <w:name w:val="footer"/>
    <w:basedOn w:val="a"/>
    <w:link w:val="a7"/>
    <w:uiPriority w:val="99"/>
    <w:unhideWhenUsed/>
    <w:rsid w:val="00773E3A"/>
    <w:pPr>
      <w:tabs>
        <w:tab w:val="center" w:pos="4153"/>
        <w:tab w:val="right" w:pos="8306"/>
      </w:tabs>
      <w:snapToGrid w:val="0"/>
      <w:jc w:val="left"/>
    </w:pPr>
    <w:rPr>
      <w:sz w:val="18"/>
      <w:szCs w:val="18"/>
    </w:rPr>
  </w:style>
  <w:style w:type="character" w:customStyle="1" w:styleId="a7">
    <w:name w:val="页脚 字符"/>
    <w:basedOn w:val="a0"/>
    <w:link w:val="a6"/>
    <w:uiPriority w:val="99"/>
    <w:rsid w:val="00773E3A"/>
    <w:rPr>
      <w:sz w:val="18"/>
      <w:szCs w:val="18"/>
    </w:rPr>
  </w:style>
  <w:style w:type="paragraph" w:styleId="a8">
    <w:name w:val="Balloon Text"/>
    <w:basedOn w:val="a"/>
    <w:link w:val="a9"/>
    <w:uiPriority w:val="99"/>
    <w:semiHidden/>
    <w:unhideWhenUsed/>
    <w:rsid w:val="000E113F"/>
    <w:rPr>
      <w:sz w:val="18"/>
      <w:szCs w:val="18"/>
    </w:rPr>
  </w:style>
  <w:style w:type="character" w:customStyle="1" w:styleId="a9">
    <w:name w:val="批注框文本 字符"/>
    <w:basedOn w:val="a0"/>
    <w:link w:val="a8"/>
    <w:uiPriority w:val="99"/>
    <w:semiHidden/>
    <w:rsid w:val="000E113F"/>
    <w:rPr>
      <w:sz w:val="18"/>
      <w:szCs w:val="18"/>
    </w:rPr>
  </w:style>
  <w:style w:type="paragraph" w:styleId="aa">
    <w:name w:val="List Paragraph"/>
    <w:basedOn w:val="a"/>
    <w:uiPriority w:val="34"/>
    <w:qFormat/>
    <w:rsid w:val="00A97D36"/>
    <w:pPr>
      <w:ind w:firstLineChars="200" w:firstLine="420"/>
    </w:pPr>
    <w:rPr>
      <w:rFonts w:ascii="等线" w:eastAsia="等线" w:hAnsi="等线"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刘静</dc:creator>
  <cp:keywords/>
  <dc:description/>
  <cp:lastModifiedBy>njust njust</cp:lastModifiedBy>
  <cp:revision>11</cp:revision>
  <cp:lastPrinted>2022-12-02T03:05:00Z</cp:lastPrinted>
  <dcterms:created xsi:type="dcterms:W3CDTF">2018-06-05T08:01:00Z</dcterms:created>
  <dcterms:modified xsi:type="dcterms:W3CDTF">2022-12-13T02:21:00Z</dcterms:modified>
</cp:coreProperties>
</file>