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D36" w:rsidRPr="00A97D36" w:rsidRDefault="00A97D36" w:rsidP="00A97D36">
      <w:pPr>
        <w:spacing w:beforeLines="100" w:before="312" w:afterLines="100" w:after="312"/>
        <w:jc w:val="center"/>
        <w:rPr>
          <w:rFonts w:ascii="黑体" w:eastAsia="黑体" w:hAnsi="黑体" w:cs="Times New Roman"/>
          <w:b/>
          <w:sz w:val="36"/>
          <w:szCs w:val="32"/>
        </w:rPr>
      </w:pPr>
      <w:r w:rsidRPr="00A97D36">
        <w:rPr>
          <w:rFonts w:ascii="黑体" w:eastAsia="黑体" w:hAnsi="黑体" w:cs="Times New Roman" w:hint="eastAsia"/>
          <w:b/>
          <w:sz w:val="36"/>
          <w:szCs w:val="32"/>
        </w:rPr>
        <w:t>南京理工大学单一来源采购专家论证意见表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3476"/>
        <w:gridCol w:w="1732"/>
        <w:gridCol w:w="3479"/>
      </w:tblGrid>
      <w:tr w:rsidR="00A97D36" w:rsidRPr="00A97D36">
        <w:trPr>
          <w:trHeight w:val="49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承办单位</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能源与动力工程学院</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使用单位</w:t>
            </w:r>
          </w:p>
        </w:tc>
        <w:tc>
          <w:tcPr>
            <w:tcW w:w="1669" w:type="pct"/>
            <w:vAlign w:val="center"/>
          </w:tcPr>
          <w:p w:rsidR="00A97D36" w:rsidRPr="00A97D36" w:rsidRDefault="0019418E" w:rsidP="00A97D36">
            <w:pPr>
              <w:jc w:val="center"/>
              <w:rPr>
                <w:rFonts w:ascii="宋体" w:eastAsia="宋体" w:hAnsi="宋体" w:cs="Times New Roman"/>
                <w:sz w:val="24"/>
                <w:szCs w:val="24"/>
              </w:rPr>
            </w:pPr>
            <w:r w:rsidRPr="0019418E">
              <w:rPr>
                <w:rFonts w:ascii="宋体" w:eastAsia="宋体" w:hAnsi="宋体" w:cs="Times New Roman" w:hint="eastAsia"/>
                <w:sz w:val="24"/>
                <w:szCs w:val="24"/>
              </w:rPr>
              <w:t>能源与动力工程学院</w:t>
            </w:r>
          </w:p>
        </w:tc>
      </w:tr>
      <w:tr w:rsidR="00A97D36" w:rsidRPr="003C6F97">
        <w:trPr>
          <w:trHeight w:val="558"/>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预算金额</w:t>
            </w:r>
          </w:p>
        </w:tc>
        <w:tc>
          <w:tcPr>
            <w:tcW w:w="1668" w:type="pct"/>
            <w:vAlign w:val="center"/>
          </w:tcPr>
          <w:p w:rsidR="00A97D36" w:rsidRPr="00A97D36" w:rsidRDefault="0019418E" w:rsidP="00A97D36">
            <w:pPr>
              <w:jc w:val="center"/>
              <w:rPr>
                <w:rFonts w:ascii="宋体" w:eastAsia="宋体" w:hAnsi="宋体" w:cs="Times New Roman"/>
                <w:b/>
                <w:sz w:val="24"/>
                <w:szCs w:val="24"/>
              </w:rPr>
            </w:pPr>
            <w:r w:rsidRPr="0019418E">
              <w:rPr>
                <w:rFonts w:ascii="宋体" w:eastAsia="宋体" w:hAnsi="宋体" w:cs="Times New Roman" w:hint="eastAsia"/>
                <w:sz w:val="24"/>
                <w:szCs w:val="24"/>
              </w:rPr>
              <w:t>2</w:t>
            </w:r>
            <w:r w:rsidR="003C6F97">
              <w:rPr>
                <w:rFonts w:ascii="宋体" w:eastAsia="宋体" w:hAnsi="宋体" w:cs="Times New Roman"/>
                <w:sz w:val="24"/>
                <w:szCs w:val="24"/>
              </w:rPr>
              <w:t>0</w:t>
            </w:r>
            <w:r w:rsidRPr="0019418E">
              <w:rPr>
                <w:rFonts w:ascii="宋体" w:eastAsia="宋体" w:hAnsi="宋体" w:cs="Times New Roman" w:hint="eastAsia"/>
                <w:sz w:val="24"/>
                <w:szCs w:val="24"/>
              </w:rPr>
              <w:t>万元</w:t>
            </w:r>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项目名称</w:t>
            </w:r>
          </w:p>
        </w:tc>
        <w:tc>
          <w:tcPr>
            <w:tcW w:w="1669" w:type="pct"/>
            <w:vAlign w:val="center"/>
          </w:tcPr>
          <w:p w:rsidR="00A97D36" w:rsidRPr="00A97D36" w:rsidRDefault="003C6F97" w:rsidP="00A97D36">
            <w:pPr>
              <w:jc w:val="center"/>
              <w:rPr>
                <w:rFonts w:ascii="宋体" w:eastAsia="宋体" w:hAnsi="宋体" w:cs="Times New Roman"/>
                <w:sz w:val="24"/>
                <w:szCs w:val="24"/>
              </w:rPr>
            </w:pPr>
            <w:bookmarkStart w:id="0" w:name="_Hlk121232170"/>
            <w:r w:rsidRPr="003C6F97">
              <w:rPr>
                <w:rFonts w:ascii="宋体" w:eastAsia="宋体" w:hAnsi="宋体" w:cs="Times New Roman" w:hint="eastAsia"/>
                <w:sz w:val="24"/>
                <w:szCs w:val="24"/>
              </w:rPr>
              <w:t>ANSYS多体动力学分析模块（ANSYS MBD）</w:t>
            </w:r>
            <w:bookmarkEnd w:id="0"/>
          </w:p>
        </w:tc>
      </w:tr>
      <w:tr w:rsidR="00A97D36" w:rsidRPr="00A97D36">
        <w:trPr>
          <w:trHeight w:val="410"/>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采购联系人</w:t>
            </w:r>
          </w:p>
        </w:tc>
        <w:tc>
          <w:tcPr>
            <w:tcW w:w="1668" w:type="pct"/>
            <w:vAlign w:val="center"/>
          </w:tcPr>
          <w:p w:rsidR="00A97D36" w:rsidRPr="00A97D36" w:rsidRDefault="0019418E" w:rsidP="00A97D36">
            <w:pPr>
              <w:jc w:val="center"/>
              <w:rPr>
                <w:rFonts w:ascii="宋体" w:eastAsia="宋体" w:hAnsi="宋体" w:cs="Times New Roman"/>
                <w:b/>
                <w:sz w:val="24"/>
                <w:szCs w:val="24"/>
              </w:rPr>
            </w:pPr>
            <w:proofErr w:type="gramStart"/>
            <w:r w:rsidRPr="0019418E">
              <w:rPr>
                <w:rFonts w:ascii="宋体" w:eastAsia="宋体" w:hAnsi="宋体" w:cs="Times New Roman" w:hint="eastAsia"/>
                <w:sz w:val="24"/>
                <w:szCs w:val="24"/>
              </w:rPr>
              <w:t>杨富锋</w:t>
            </w:r>
            <w:proofErr w:type="gramEnd"/>
          </w:p>
        </w:tc>
        <w:tc>
          <w:tcPr>
            <w:tcW w:w="831"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联系电话</w:t>
            </w:r>
          </w:p>
        </w:tc>
        <w:tc>
          <w:tcPr>
            <w:tcW w:w="1669" w:type="pct"/>
            <w:vAlign w:val="center"/>
          </w:tcPr>
          <w:p w:rsidR="00A97D36" w:rsidRPr="00A97D36" w:rsidRDefault="0019418E" w:rsidP="00A97D36">
            <w:pPr>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3813996314</w:t>
            </w:r>
          </w:p>
        </w:tc>
      </w:tr>
      <w:tr w:rsidR="00A97D36" w:rsidRPr="00A97D36">
        <w:trPr>
          <w:trHeight w:val="1926"/>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制造商（代理商名称及单位地址）</w:t>
            </w:r>
          </w:p>
        </w:tc>
        <w:tc>
          <w:tcPr>
            <w:tcW w:w="4168" w:type="pct"/>
            <w:gridSpan w:val="3"/>
            <w:vAlign w:val="center"/>
          </w:tcPr>
          <w:p w:rsidR="00A97D36" w:rsidRDefault="001F56BB" w:rsidP="00A97D36">
            <w:pPr>
              <w:jc w:val="center"/>
              <w:rPr>
                <w:color w:val="000000"/>
              </w:rPr>
            </w:pPr>
            <w:bookmarkStart w:id="1" w:name="_Hlk121232287"/>
            <w:r>
              <w:rPr>
                <w:rFonts w:hint="eastAsia"/>
                <w:color w:val="000000"/>
              </w:rPr>
              <w:t>美国A</w:t>
            </w:r>
            <w:r>
              <w:rPr>
                <w:color w:val="000000"/>
              </w:rPr>
              <w:t>nsys</w:t>
            </w:r>
            <w:r w:rsidR="0019418E" w:rsidRPr="0034300F">
              <w:rPr>
                <w:rFonts w:hint="eastAsia"/>
                <w:color w:val="000000"/>
              </w:rPr>
              <w:t>公司</w:t>
            </w:r>
            <w:bookmarkEnd w:id="1"/>
          </w:p>
          <w:p w:rsidR="003C6F97" w:rsidRPr="00A97D36" w:rsidRDefault="00777F8B" w:rsidP="00A97D36">
            <w:pPr>
              <w:jc w:val="center"/>
              <w:rPr>
                <w:rFonts w:ascii="宋体" w:eastAsia="宋体" w:hAnsi="宋体" w:cs="Times New Roman"/>
                <w:sz w:val="32"/>
                <w:szCs w:val="32"/>
              </w:rPr>
            </w:pPr>
            <w:r>
              <w:rPr>
                <w:rFonts w:hint="eastAsia"/>
                <w:color w:val="000000"/>
              </w:rPr>
              <w:t>(</w:t>
            </w:r>
            <w:bookmarkStart w:id="2" w:name="_Hlk121232294"/>
            <w:r w:rsidR="003C6F97" w:rsidRPr="003C6F97">
              <w:rPr>
                <w:rFonts w:hint="eastAsia"/>
                <w:color w:val="000000"/>
              </w:rPr>
              <w:t>北京海基嘉盛科技有限公司</w:t>
            </w:r>
            <w:bookmarkEnd w:id="2"/>
            <w:r w:rsidR="003C6F97" w:rsidRPr="003C6F97">
              <w:rPr>
                <w:rFonts w:hint="eastAsia"/>
                <w:color w:val="000000"/>
              </w:rPr>
              <w:t>，</w:t>
            </w:r>
            <w:bookmarkStart w:id="3" w:name="_Hlk121232316"/>
            <w:r w:rsidR="003C6F97" w:rsidRPr="003C6F97">
              <w:rPr>
                <w:rFonts w:hint="eastAsia"/>
                <w:color w:val="000000"/>
              </w:rPr>
              <w:t>北京市顺义区后沙裕</w:t>
            </w:r>
            <w:proofErr w:type="gramStart"/>
            <w:r w:rsidR="003C6F97" w:rsidRPr="003C6F97">
              <w:rPr>
                <w:rFonts w:hint="eastAsia"/>
                <w:color w:val="000000"/>
              </w:rPr>
              <w:t>裕曦路</w:t>
            </w:r>
            <w:proofErr w:type="gramEnd"/>
            <w:r w:rsidR="003C6F97" w:rsidRPr="003C6F97">
              <w:rPr>
                <w:rFonts w:hint="eastAsia"/>
                <w:color w:val="000000"/>
              </w:rPr>
              <w:t>9号院</w:t>
            </w:r>
            <w:bookmarkEnd w:id="3"/>
            <w:r>
              <w:rPr>
                <w:rFonts w:hint="eastAsia"/>
                <w:color w:val="000000"/>
              </w:rPr>
              <w:t>)</w:t>
            </w:r>
          </w:p>
        </w:tc>
      </w:tr>
      <w:tr w:rsidR="00A97D36" w:rsidRPr="00A97D36">
        <w:trPr>
          <w:trHeight w:val="276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本项目适用单一来源方式采购的情形（必须勾选）</w:t>
            </w:r>
          </w:p>
        </w:tc>
        <w:tc>
          <w:tcPr>
            <w:tcW w:w="4168" w:type="pct"/>
            <w:gridSpan w:val="3"/>
            <w:vAlign w:val="center"/>
          </w:tcPr>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w:t>
            </w:r>
            <w:proofErr w:type="gramStart"/>
            <w:r w:rsidRPr="00A97D36">
              <w:rPr>
                <w:rFonts w:ascii="宋体" w:eastAsia="宋体" w:hAnsi="宋体" w:cs="Times New Roman" w:hint="eastAsia"/>
                <w:b/>
                <w:color w:val="000000"/>
                <w:sz w:val="24"/>
                <w:szCs w:val="24"/>
              </w:rPr>
              <w:t>一</w:t>
            </w:r>
            <w:proofErr w:type="gramEnd"/>
            <w:r w:rsidRPr="00A97D36">
              <w:rPr>
                <w:rFonts w:ascii="宋体" w:eastAsia="宋体" w:hAnsi="宋体" w:cs="Times New Roman" w:hint="eastAsia"/>
                <w:b/>
                <w:color w:val="000000"/>
                <w:sz w:val="24"/>
                <w:szCs w:val="24"/>
              </w:rPr>
              <w:t>：只能从唯一特定供应商处采购：</w:t>
            </w:r>
          </w:p>
          <w:p w:rsidR="00A97D36" w:rsidRPr="00A97D36" w:rsidRDefault="0019418E" w:rsidP="00A97D36">
            <w:pPr>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A97D36" w:rsidRPr="00A97D36">
              <w:rPr>
                <w:rFonts w:ascii="宋体" w:eastAsia="宋体" w:hAnsi="宋体" w:cs="Times New Roman" w:hint="eastAsia"/>
                <w:color w:val="000000"/>
                <w:sz w:val="24"/>
                <w:szCs w:val="24"/>
              </w:rPr>
              <w:t>供应商拥有专利权，其他商家无法替代；</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□经公开发布公告，只有一家供应商投标；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□技术含量较高、专业性较强或建设时间非常紧迫的非标或委托研制的教学科研仪器设备、信息化软硬件系统；</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□与已经采购的设备、物资或信息化系统软件配套使用，且无法替代的产品；</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□在用仪器设备，因后续维修或扩展功能所需的零配件或部件必须向原供应厂商购买的；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□批量教学设备，仅需部分更换且要求与原设备保持一致的；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□经相关部门批准的自制设备；</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□在用信息系统，因改造升级、功能拓展、接口开发等必须由原供应商开发；</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□供货渠道单一的图书、教材等文献资源（如：纸质中文报纸、古籍、特藏、重要手稿、抄本等）；</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□涉密的采购项目。</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类型二：发生了不可预见的紧急情况不能从其他供应商处采购：</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□原有损坏需应急更换</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□因严重自然灾害或其他不可抗力事件所实施的紧急、特殊类采购。</w:t>
            </w:r>
          </w:p>
          <w:p w:rsidR="00A97D36" w:rsidRPr="00A97D36" w:rsidRDefault="00A97D36" w:rsidP="00A97D36">
            <w:pPr>
              <w:numPr>
                <w:ilvl w:val="0"/>
                <w:numId w:val="1"/>
              </w:numPr>
              <w:rPr>
                <w:rFonts w:ascii="宋体" w:eastAsia="宋体" w:hAnsi="宋体" w:cs="Times New Roman"/>
                <w:b/>
                <w:color w:val="000000"/>
                <w:sz w:val="24"/>
                <w:szCs w:val="24"/>
              </w:rPr>
            </w:pPr>
            <w:r w:rsidRPr="00A97D36">
              <w:rPr>
                <w:rFonts w:ascii="宋体" w:eastAsia="宋体" w:hAnsi="宋体" w:cs="Times New Roman" w:hint="eastAsia"/>
                <w:b/>
                <w:color w:val="000000"/>
                <w:sz w:val="24"/>
                <w:szCs w:val="24"/>
              </w:rPr>
              <w:t>类型三：添购和续签</w:t>
            </w:r>
          </w:p>
          <w:p w:rsidR="00A97D36" w:rsidRPr="00A97D36" w:rsidRDefault="00A97D36" w:rsidP="00A97D36">
            <w:pPr>
              <w:rPr>
                <w:rFonts w:ascii="宋体" w:eastAsia="宋体" w:hAnsi="宋体" w:cs="Times New Roman"/>
                <w:b/>
                <w:color w:val="000000"/>
                <w:sz w:val="24"/>
                <w:szCs w:val="24"/>
              </w:rPr>
            </w:pPr>
            <w:r w:rsidRPr="00A97D36">
              <w:rPr>
                <w:rFonts w:ascii="宋体" w:eastAsia="宋体" w:hAnsi="宋体" w:cs="Times New Roman" w:hint="eastAsia"/>
                <w:color w:val="000000"/>
                <w:sz w:val="24"/>
                <w:szCs w:val="24"/>
              </w:rPr>
              <w:t>□必须保证原有采购项目一致性或者服务配套的要求，需要继续从原供应商处添购，且添购资金总额不超过原合同采购金额百分之十的</w:t>
            </w:r>
          </w:p>
          <w:p w:rsidR="00A97D36" w:rsidRPr="00A97D36" w:rsidRDefault="00A97D36" w:rsidP="00A97D36">
            <w:pPr>
              <w:rPr>
                <w:rFonts w:ascii="宋体" w:eastAsia="宋体" w:hAnsi="宋体" w:cs="Times New Roman"/>
                <w:color w:val="000000"/>
                <w:sz w:val="24"/>
                <w:szCs w:val="24"/>
              </w:rPr>
            </w:pPr>
            <w:r w:rsidRPr="00A97D36">
              <w:rPr>
                <w:rFonts w:ascii="宋体" w:eastAsia="宋体" w:hAnsi="宋体" w:cs="Times New Roman" w:hint="eastAsia"/>
                <w:color w:val="000000"/>
                <w:sz w:val="24"/>
                <w:szCs w:val="24"/>
              </w:rPr>
              <w:t>□固定期限的信息化运维服务或通用软件合同需要续签的，总年度不超三年。</w:t>
            </w:r>
          </w:p>
        </w:tc>
      </w:tr>
      <w:tr w:rsidR="00A97D36" w:rsidRPr="00A97D36">
        <w:trPr>
          <w:trHeight w:val="283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lastRenderedPageBreak/>
              <w:t>项目概况</w:t>
            </w:r>
          </w:p>
        </w:tc>
        <w:tc>
          <w:tcPr>
            <w:tcW w:w="4168" w:type="pct"/>
            <w:gridSpan w:val="3"/>
            <w:vAlign w:val="center"/>
          </w:tcPr>
          <w:p w:rsidR="00A97D36" w:rsidRDefault="0019418E" w:rsidP="003C6F97">
            <w:pPr>
              <w:jc w:val="left"/>
            </w:pPr>
            <w:bookmarkStart w:id="4" w:name="_Hlk121232205"/>
            <w:r>
              <w:rPr>
                <w:rFonts w:hint="eastAsia"/>
              </w:rPr>
              <w:t>用途：</w:t>
            </w:r>
            <w:r w:rsidR="003C6F97" w:rsidRPr="003C6F97">
              <w:rPr>
                <w:rFonts w:hint="eastAsia"/>
              </w:rPr>
              <w:t>用于多体动力学软件对标开发，是工业软件项目的对标软件，ANSYS的MBD可以用来了解基本机械装配的动态行为，并为结构分析生成载荷。</w:t>
            </w:r>
          </w:p>
          <w:p w:rsidR="00777F8B" w:rsidRDefault="00777F8B" w:rsidP="003C6F97">
            <w:pPr>
              <w:jc w:val="left"/>
            </w:pPr>
            <w:r>
              <w:rPr>
                <w:rFonts w:hint="eastAsia"/>
              </w:rPr>
              <w:t>组成：</w:t>
            </w:r>
            <w:r w:rsidRPr="00777F8B">
              <w:rPr>
                <w:rFonts w:hint="eastAsia"/>
              </w:rPr>
              <w:t>集成的多体和结构求解器、图形用户界面、开放式API、基于刚体的多体动力学分析、FMI接口功能、STEP文件导入、CATIA文件导入、Parasolid文件导入等</w:t>
            </w:r>
            <w:r>
              <w:rPr>
                <w:rFonts w:hint="eastAsia"/>
              </w:rPr>
              <w:t>。</w:t>
            </w:r>
          </w:p>
          <w:p w:rsidR="00777F8B" w:rsidRDefault="00777F8B" w:rsidP="003C6F97">
            <w:pPr>
              <w:jc w:val="left"/>
            </w:pPr>
          </w:p>
          <w:p w:rsidR="003C6F97" w:rsidRDefault="0019418E" w:rsidP="00777F8B">
            <w:pPr>
              <w:jc w:val="left"/>
            </w:pPr>
            <w:r>
              <w:rPr>
                <w:rFonts w:hint="eastAsia"/>
              </w:rPr>
              <w:t>技术指标：</w:t>
            </w:r>
          </w:p>
          <w:p w:rsidR="003C6F97" w:rsidRDefault="0019418E" w:rsidP="003C6F97">
            <w:pPr>
              <w:pStyle w:val="aa"/>
              <w:ind w:leftChars="50" w:left="105" w:firstLineChars="0" w:firstLine="0"/>
              <w:jc w:val="left"/>
            </w:pPr>
            <w:r>
              <w:rPr>
                <w:rFonts w:hint="eastAsia"/>
              </w:rPr>
              <w:t>1）</w:t>
            </w:r>
            <w:r w:rsidR="003C6F97" w:rsidRPr="00426152">
              <w:rPr>
                <w:rFonts w:hint="eastAsia"/>
              </w:rPr>
              <w:t>紧密集成多体和结构仿真求解器，可以同时求解刚体、柔性体、力实体和连接副的控制方程</w:t>
            </w:r>
            <w:r w:rsidR="003C6F97">
              <w:rPr>
                <w:rFonts w:hint="eastAsia"/>
              </w:rPr>
              <w:t>；</w:t>
            </w:r>
          </w:p>
          <w:p w:rsidR="003C6F97" w:rsidRDefault="003C6F97" w:rsidP="003C6F97">
            <w:pPr>
              <w:pStyle w:val="aa"/>
              <w:numPr>
                <w:ilvl w:val="0"/>
                <w:numId w:val="3"/>
              </w:numPr>
              <w:ind w:leftChars="50" w:left="105" w:firstLineChars="0" w:firstLine="0"/>
              <w:jc w:val="left"/>
            </w:pPr>
            <w:r w:rsidRPr="00426152">
              <w:rPr>
                <w:rFonts w:hint="eastAsia"/>
              </w:rPr>
              <w:t>适用于大规模自由度系统仿真分析，专门为刚体和</w:t>
            </w:r>
            <w:proofErr w:type="gramStart"/>
            <w:r w:rsidRPr="00426152">
              <w:rPr>
                <w:rFonts w:hint="eastAsia"/>
              </w:rPr>
              <w:t>柔体</w:t>
            </w:r>
            <w:proofErr w:type="gramEnd"/>
            <w:r w:rsidRPr="00426152">
              <w:rPr>
                <w:rFonts w:hint="eastAsia"/>
              </w:rPr>
              <w:t>混合系统定制的稀疏矩阵求解器已验证，可以很好地处理大规模自由度系统仿真分析</w:t>
            </w:r>
            <w:r>
              <w:rPr>
                <w:rFonts w:hint="eastAsia"/>
              </w:rPr>
              <w:t>；</w:t>
            </w:r>
          </w:p>
          <w:p w:rsidR="003C6F97" w:rsidRDefault="003C6F97" w:rsidP="003C6F97">
            <w:pPr>
              <w:pStyle w:val="aa"/>
              <w:numPr>
                <w:ilvl w:val="0"/>
                <w:numId w:val="3"/>
              </w:numPr>
              <w:ind w:leftChars="50" w:left="105" w:firstLineChars="0" w:firstLine="0"/>
              <w:jc w:val="left"/>
            </w:pPr>
            <w:r w:rsidRPr="00426152">
              <w:rPr>
                <w:rFonts w:hint="eastAsia"/>
              </w:rPr>
              <w:t>先进的3D面接触算法，可以很好地支持3D面接触，包括小面和NURBS两种类型。提供刚体-刚体面接触，刚体-柔性体面接触和柔性体-柔性体面接触，高效的接触探测算法可以更快速地计算复杂接触问题</w:t>
            </w:r>
            <w:r>
              <w:rPr>
                <w:rFonts w:hint="eastAsia"/>
              </w:rPr>
              <w:t>；</w:t>
            </w:r>
          </w:p>
          <w:p w:rsidR="003C6F97" w:rsidRDefault="003C6F97" w:rsidP="003C6F97">
            <w:pPr>
              <w:pStyle w:val="aa"/>
              <w:numPr>
                <w:ilvl w:val="0"/>
                <w:numId w:val="3"/>
              </w:numPr>
              <w:ind w:leftChars="50" w:left="105" w:firstLineChars="0" w:firstLine="0"/>
              <w:jc w:val="left"/>
            </w:pPr>
            <w:r w:rsidRPr="00426152">
              <w:rPr>
                <w:rFonts w:hint="eastAsia"/>
              </w:rPr>
              <w:t>支持模态柔性体和节点柔性，并可自由选择。同时支持无网格柔性技术，用户无需对结构进行网格划分即可实现柔性</w:t>
            </w:r>
            <w:proofErr w:type="gramStart"/>
            <w:r w:rsidRPr="00426152">
              <w:rPr>
                <w:rFonts w:hint="eastAsia"/>
              </w:rPr>
              <w:t>体数据</w:t>
            </w:r>
            <w:proofErr w:type="gramEnd"/>
            <w:r w:rsidRPr="00426152">
              <w:rPr>
                <w:rFonts w:hint="eastAsia"/>
              </w:rPr>
              <w:t>的计算</w:t>
            </w:r>
            <w:r>
              <w:rPr>
                <w:rFonts w:hint="eastAsia"/>
              </w:rPr>
              <w:t>；</w:t>
            </w:r>
          </w:p>
          <w:p w:rsidR="003C6F97" w:rsidRDefault="003C6F97" w:rsidP="003C6F97">
            <w:pPr>
              <w:pStyle w:val="aa"/>
              <w:numPr>
                <w:ilvl w:val="0"/>
                <w:numId w:val="3"/>
              </w:numPr>
              <w:ind w:leftChars="50" w:left="105" w:firstLineChars="0" w:firstLine="0"/>
              <w:jc w:val="left"/>
            </w:pPr>
            <w:r>
              <w:rPr>
                <w:rFonts w:hint="eastAsia"/>
              </w:rPr>
              <w:t>几何体或系统的特征值分析以及系统的频率响应分析；</w:t>
            </w:r>
          </w:p>
          <w:p w:rsidR="003C6F97" w:rsidRDefault="003C6F97" w:rsidP="003C6F97">
            <w:pPr>
              <w:pStyle w:val="aa"/>
              <w:numPr>
                <w:ilvl w:val="0"/>
                <w:numId w:val="3"/>
              </w:numPr>
              <w:ind w:leftChars="50" w:left="105" w:firstLineChars="0" w:firstLine="0"/>
              <w:jc w:val="left"/>
            </w:pPr>
            <w:r w:rsidRPr="004716AC">
              <w:rPr>
                <w:rFonts w:hint="eastAsia"/>
              </w:rPr>
              <w:t>专用模板和子系统建模工具，可用于为预定</w:t>
            </w:r>
            <w:proofErr w:type="gramStart"/>
            <w:r w:rsidRPr="004716AC">
              <w:rPr>
                <w:rFonts w:hint="eastAsia"/>
              </w:rPr>
              <w:t>义分析</w:t>
            </w:r>
            <w:proofErr w:type="gramEnd"/>
            <w:r w:rsidRPr="004716AC">
              <w:rPr>
                <w:rFonts w:hint="eastAsia"/>
              </w:rPr>
              <w:t>场景构建底盘、悬挂、方向盘和车轮</w:t>
            </w:r>
            <w:r>
              <w:rPr>
                <w:rFonts w:hint="eastAsia"/>
              </w:rPr>
              <w:t>；</w:t>
            </w:r>
          </w:p>
          <w:p w:rsidR="003C6F97" w:rsidRDefault="003C6F97" w:rsidP="003C6F97">
            <w:pPr>
              <w:pStyle w:val="aa"/>
              <w:numPr>
                <w:ilvl w:val="0"/>
                <w:numId w:val="3"/>
              </w:numPr>
              <w:ind w:leftChars="50" w:left="105" w:firstLineChars="0" w:firstLine="0"/>
              <w:jc w:val="left"/>
            </w:pPr>
            <w:r w:rsidRPr="004716AC">
              <w:rPr>
                <w:rFonts w:hint="eastAsia"/>
              </w:rPr>
              <w:t>对称建模功能和基于模板的工作流程，让用户可以轻松地分析运动学与合</w:t>
            </w:r>
            <w:proofErr w:type="gramStart"/>
            <w:r w:rsidRPr="004716AC">
              <w:rPr>
                <w:rFonts w:hint="eastAsia"/>
              </w:rPr>
              <w:t>规</w:t>
            </w:r>
            <w:proofErr w:type="gramEnd"/>
            <w:r w:rsidRPr="004716AC">
              <w:rPr>
                <w:rFonts w:hint="eastAsia"/>
              </w:rPr>
              <w:t>（K&amp;C）场景及行驶与操纵（R&amp;H）场景</w:t>
            </w:r>
            <w:r>
              <w:rPr>
                <w:rFonts w:hint="eastAsia"/>
              </w:rPr>
              <w:t>；</w:t>
            </w:r>
          </w:p>
          <w:p w:rsidR="003C6F97" w:rsidRDefault="003C6F97" w:rsidP="003C6F97">
            <w:pPr>
              <w:pStyle w:val="aa"/>
              <w:numPr>
                <w:ilvl w:val="0"/>
                <w:numId w:val="3"/>
              </w:numPr>
              <w:ind w:leftChars="50" w:left="105" w:firstLineChars="0" w:firstLine="0"/>
              <w:jc w:val="left"/>
            </w:pPr>
            <w:r w:rsidRPr="004716AC">
              <w:rPr>
                <w:rFonts w:hint="eastAsia"/>
              </w:rPr>
              <w:t>计算波动转速或承载时的激振特性，来分析结构在真实运行工况下的振动特性。</w:t>
            </w:r>
          </w:p>
          <w:p w:rsidR="0019418E" w:rsidRDefault="003C6F97" w:rsidP="003C6F97">
            <w:pPr>
              <w:ind w:leftChars="50" w:left="105"/>
              <w:jc w:val="left"/>
            </w:pPr>
            <w:r>
              <w:rPr>
                <w:rFonts w:hint="eastAsia"/>
              </w:rPr>
              <w:t>具备高性能并行计算能力</w:t>
            </w:r>
            <w:r w:rsidR="0019418E">
              <w:rPr>
                <w:rFonts w:hint="eastAsia"/>
              </w:rPr>
              <w:t>。</w:t>
            </w:r>
            <w:bookmarkEnd w:id="4"/>
          </w:p>
          <w:p w:rsidR="003125E8" w:rsidRDefault="003125E8" w:rsidP="003C6F97">
            <w:pPr>
              <w:ind w:leftChars="50" w:left="105"/>
              <w:jc w:val="left"/>
            </w:pPr>
          </w:p>
          <w:p w:rsidR="003125E8" w:rsidRDefault="003125E8" w:rsidP="003C6F97">
            <w:pPr>
              <w:ind w:leftChars="50" w:left="105"/>
              <w:jc w:val="left"/>
              <w:rPr>
                <w:rFonts w:ascii="宋体" w:eastAsia="宋体" w:hAnsi="宋体" w:cs="Times New Roman"/>
                <w:sz w:val="24"/>
                <w:szCs w:val="24"/>
              </w:rPr>
            </w:pPr>
          </w:p>
          <w:p w:rsidR="003125E8" w:rsidRDefault="003125E8" w:rsidP="003C6F97">
            <w:pPr>
              <w:ind w:leftChars="50" w:left="105"/>
              <w:jc w:val="left"/>
              <w:rPr>
                <w:rFonts w:ascii="宋体" w:eastAsia="宋体" w:hAnsi="宋体" w:cs="Times New Roman"/>
                <w:sz w:val="24"/>
                <w:szCs w:val="24"/>
              </w:rPr>
            </w:pPr>
          </w:p>
          <w:p w:rsidR="003125E8" w:rsidRDefault="003125E8" w:rsidP="003C6F97">
            <w:pPr>
              <w:ind w:leftChars="50" w:left="105"/>
              <w:jc w:val="left"/>
              <w:rPr>
                <w:rFonts w:ascii="宋体" w:eastAsia="宋体" w:hAnsi="宋体" w:cs="Times New Roman"/>
                <w:sz w:val="24"/>
                <w:szCs w:val="24"/>
              </w:rPr>
            </w:pPr>
          </w:p>
          <w:p w:rsidR="003125E8" w:rsidRPr="003125E8" w:rsidRDefault="003125E8" w:rsidP="003C6F97">
            <w:pPr>
              <w:ind w:leftChars="50" w:left="105"/>
              <w:jc w:val="left"/>
              <w:rPr>
                <w:rFonts w:ascii="宋体" w:eastAsia="宋体" w:hAnsi="宋体" w:cs="Times New Roman"/>
                <w:sz w:val="24"/>
                <w:szCs w:val="24"/>
              </w:rPr>
            </w:pPr>
          </w:p>
        </w:tc>
      </w:tr>
      <w:tr w:rsidR="00A97D36" w:rsidRPr="00A97D36">
        <w:trPr>
          <w:trHeight w:val="3250"/>
        </w:trPr>
        <w:tc>
          <w:tcPr>
            <w:tcW w:w="832" w:type="pct"/>
            <w:vAlign w:val="center"/>
          </w:tcPr>
          <w:p w:rsidR="00A97D36" w:rsidRPr="0019418E" w:rsidRDefault="00A97D36" w:rsidP="00A97D36">
            <w:pPr>
              <w:jc w:val="center"/>
              <w:rPr>
                <w:color w:val="000000"/>
              </w:rPr>
            </w:pPr>
            <w:r w:rsidRPr="0019418E">
              <w:rPr>
                <w:rFonts w:hint="eastAsia"/>
                <w:color w:val="000000"/>
              </w:rPr>
              <w:t>单一来源采购的理由</w:t>
            </w:r>
          </w:p>
        </w:tc>
        <w:tc>
          <w:tcPr>
            <w:tcW w:w="4168" w:type="pct"/>
            <w:gridSpan w:val="3"/>
            <w:vAlign w:val="center"/>
          </w:tcPr>
          <w:p w:rsidR="00A97D36" w:rsidRPr="00777F8B" w:rsidRDefault="00777F8B" w:rsidP="001F56BB">
            <w:pPr>
              <w:pStyle w:val="aa"/>
              <w:jc w:val="left"/>
            </w:pPr>
            <w:bookmarkStart w:id="5" w:name="_Hlk121232262"/>
            <w:r w:rsidRPr="00777F8B">
              <w:rPr>
                <w:rFonts w:hint="eastAsia"/>
              </w:rPr>
              <w:t>美国</w:t>
            </w:r>
            <w:r w:rsidRPr="00777F8B">
              <w:t>ANSYS</w:t>
            </w:r>
            <w:r w:rsidRPr="00777F8B">
              <w:rPr>
                <w:rFonts w:hint="eastAsia"/>
              </w:rPr>
              <w:t>公司</w:t>
            </w:r>
            <w:r>
              <w:rPr>
                <w:rFonts w:hint="eastAsia"/>
              </w:rPr>
              <w:t>开发的</w:t>
            </w:r>
            <w:r w:rsidRPr="00777F8B">
              <w:t>MBD for ANSYS</w:t>
            </w:r>
            <w:r w:rsidRPr="00777F8B">
              <w:rPr>
                <w:rFonts w:hint="eastAsia"/>
              </w:rPr>
              <w:t>为全世界用户提供CAE仿真工具，集成化的设计环境，实现了结构、振动、热、流体、电磁场、电路、系统、芯片等多域多物理场及其耦合仿真，满足各个行业的仿真需求，帮助使用者提高设计效率和产品性能，降低成本。</w:t>
            </w:r>
          </w:p>
          <w:p w:rsidR="0063688D" w:rsidRPr="00777F8B" w:rsidRDefault="00777F8B" w:rsidP="001F56BB">
            <w:pPr>
              <w:pStyle w:val="aa"/>
              <w:jc w:val="left"/>
            </w:pPr>
            <w:r w:rsidRPr="00777F8B">
              <w:rPr>
                <w:rFonts w:hint="eastAsia"/>
              </w:rPr>
              <w:t>美国</w:t>
            </w:r>
            <w:r w:rsidRPr="00777F8B">
              <w:t>ANSYS</w:t>
            </w:r>
            <w:r w:rsidRPr="00777F8B">
              <w:rPr>
                <w:rFonts w:hint="eastAsia"/>
              </w:rPr>
              <w:t>公司研发的</w:t>
            </w:r>
            <w:r w:rsidRPr="00777F8B">
              <w:t>MBD for ANSYS</w:t>
            </w:r>
            <w:r w:rsidRPr="00777F8B">
              <w:rPr>
                <w:rFonts w:hint="eastAsia"/>
              </w:rPr>
              <w:t>软件提供简单直观的建模体验，特别是对于刚体动力学的模拟，使用高性能的接触算法解决复杂的多体系统和非线性接触问题，具备速度快、方便使用等特点，能满足本项目对复杂多体系统动力学分析和工业软件研发对标的要求</w:t>
            </w:r>
            <w:r w:rsidR="00A70EA6" w:rsidRPr="00777F8B">
              <w:rPr>
                <w:rFonts w:hint="eastAsia"/>
              </w:rPr>
              <w:t>。</w:t>
            </w:r>
          </w:p>
          <w:p w:rsidR="00777F8B" w:rsidRDefault="00777F8B" w:rsidP="0019418E">
            <w:pPr>
              <w:ind w:firstLineChars="200" w:firstLine="420"/>
              <w:rPr>
                <w:color w:val="000000"/>
              </w:rPr>
            </w:pPr>
            <w:r w:rsidRPr="003C6F97">
              <w:rPr>
                <w:rFonts w:hint="eastAsia"/>
                <w:color w:val="000000"/>
              </w:rPr>
              <w:t>北京海基嘉盛科技有限公司</w:t>
            </w:r>
            <w:r>
              <w:rPr>
                <w:rFonts w:hint="eastAsia"/>
                <w:color w:val="000000"/>
              </w:rPr>
              <w:t>是该软件的授权代理商。</w:t>
            </w:r>
            <w:bookmarkEnd w:id="5"/>
          </w:p>
          <w:p w:rsidR="0019418E" w:rsidRDefault="0019418E" w:rsidP="0019418E">
            <w:pPr>
              <w:ind w:firstLineChars="200" w:firstLine="420"/>
              <w:rPr>
                <w:color w:val="000000"/>
              </w:rPr>
            </w:pPr>
            <w:r>
              <w:rPr>
                <w:rFonts w:hint="eastAsia"/>
                <w:color w:val="000000"/>
              </w:rPr>
              <w:t>因此，拟采用</w:t>
            </w:r>
            <w:r w:rsidRPr="0019418E">
              <w:rPr>
                <w:rFonts w:hint="eastAsia"/>
                <w:color w:val="000000"/>
              </w:rPr>
              <w:t>单一来源采购方</w:t>
            </w:r>
            <w:r w:rsidRPr="00777F8B">
              <w:rPr>
                <w:rFonts w:ascii="等线" w:eastAsia="等线" w:hAnsi="等线" w:cs="Times New Roman" w:hint="eastAsia"/>
              </w:rPr>
              <w:t>式采购</w:t>
            </w:r>
            <w:r w:rsidR="00777F8B" w:rsidRPr="00777F8B">
              <w:rPr>
                <w:rFonts w:ascii="等线" w:eastAsia="等线" w:hAnsi="等线" w:cs="Times New Roman" w:hint="eastAsia"/>
              </w:rPr>
              <w:t>ANSYS多体动力学分析模块（ANSYS MBD）</w:t>
            </w:r>
            <w:r>
              <w:rPr>
                <w:rFonts w:hint="eastAsia"/>
                <w:color w:val="000000"/>
              </w:rPr>
              <w:t>。</w:t>
            </w:r>
          </w:p>
          <w:p w:rsidR="003125E8" w:rsidRDefault="003125E8" w:rsidP="0019418E">
            <w:pPr>
              <w:ind w:firstLineChars="200" w:firstLine="420"/>
              <w:rPr>
                <w:color w:val="000000"/>
              </w:rPr>
            </w:pPr>
          </w:p>
          <w:p w:rsidR="003125E8" w:rsidRDefault="003125E8" w:rsidP="0019418E">
            <w:pPr>
              <w:ind w:firstLineChars="200" w:firstLine="420"/>
              <w:rPr>
                <w:color w:val="000000"/>
              </w:rPr>
            </w:pPr>
          </w:p>
          <w:p w:rsidR="003125E8" w:rsidRDefault="003125E8" w:rsidP="0019418E">
            <w:pPr>
              <w:ind w:firstLineChars="200" w:firstLine="420"/>
              <w:rPr>
                <w:color w:val="000000"/>
              </w:rPr>
            </w:pPr>
          </w:p>
          <w:p w:rsidR="003125E8" w:rsidRDefault="003125E8" w:rsidP="0019418E">
            <w:pPr>
              <w:ind w:firstLineChars="200" w:firstLine="420"/>
              <w:rPr>
                <w:color w:val="000000"/>
              </w:rPr>
            </w:pPr>
          </w:p>
          <w:p w:rsidR="003125E8" w:rsidRDefault="003125E8" w:rsidP="0019418E">
            <w:pPr>
              <w:ind w:firstLineChars="200" w:firstLine="420"/>
              <w:rPr>
                <w:color w:val="000000"/>
              </w:rPr>
            </w:pPr>
          </w:p>
          <w:p w:rsidR="003125E8" w:rsidRPr="0019418E" w:rsidRDefault="003125E8" w:rsidP="0019418E">
            <w:pPr>
              <w:ind w:firstLineChars="200" w:firstLine="420"/>
              <w:rPr>
                <w:color w:val="000000"/>
              </w:rPr>
            </w:pPr>
          </w:p>
        </w:tc>
      </w:tr>
      <w:tr w:rsidR="00A97D36" w:rsidRPr="00A97D36">
        <w:trPr>
          <w:trHeight w:val="2107"/>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lastRenderedPageBreak/>
              <w:t>专家</w:t>
            </w:r>
            <w:r w:rsidRPr="00A97D36">
              <w:rPr>
                <w:rFonts w:ascii="宋体" w:eastAsia="宋体" w:hAnsi="宋体" w:cs="Times New Roman"/>
                <w:b/>
                <w:sz w:val="24"/>
                <w:szCs w:val="24"/>
              </w:rPr>
              <w:t>1</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4C6DA0" w:rsidP="00A97D36">
            <w:pPr>
              <w:jc w:val="center"/>
              <w:rPr>
                <w:rFonts w:ascii="宋体" w:eastAsia="宋体" w:hAnsi="宋体" w:cs="Times New Roman"/>
                <w:sz w:val="32"/>
                <w:szCs w:val="32"/>
              </w:rPr>
            </w:pPr>
            <w:r>
              <w:rPr>
                <w:noProof/>
              </w:rPr>
              <w:drawing>
                <wp:anchor distT="0" distB="0" distL="114300" distR="114300" simplePos="0" relativeHeight="251657216" behindDoc="0" locked="0" layoutInCell="1" allowOverlap="1">
                  <wp:simplePos x="0" y="0"/>
                  <wp:positionH relativeFrom="column">
                    <wp:posOffset>-1819275</wp:posOffset>
                  </wp:positionH>
                  <wp:positionV relativeFrom="paragraph">
                    <wp:posOffset>-727075</wp:posOffset>
                  </wp:positionV>
                  <wp:extent cx="7576185" cy="10510520"/>
                  <wp:effectExtent l="0" t="0" r="5715"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6185" cy="10510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2014"/>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2</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31"/>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专家</w:t>
            </w:r>
            <w:r w:rsidRPr="00A97D36">
              <w:rPr>
                <w:rFonts w:ascii="宋体" w:eastAsia="宋体" w:hAnsi="宋体" w:cs="Times New Roman"/>
                <w:b/>
                <w:sz w:val="24"/>
                <w:szCs w:val="24"/>
              </w:rPr>
              <w:t>3</w:t>
            </w:r>
          </w:p>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论证意见</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p>
          <w:p w:rsidR="00A97D36" w:rsidRPr="00A97D36" w:rsidRDefault="00A97D36" w:rsidP="00A97D36">
            <w:pPr>
              <w:jc w:val="center"/>
              <w:rPr>
                <w:rFonts w:ascii="宋体" w:eastAsia="宋体" w:hAnsi="宋体" w:cs="Times New Roman"/>
                <w:sz w:val="32"/>
                <w:szCs w:val="32"/>
              </w:rPr>
            </w:pPr>
            <w:r w:rsidRPr="00A97D36">
              <w:rPr>
                <w:rFonts w:ascii="宋体" w:eastAsia="宋体" w:hAnsi="宋体" w:cs="Times New Roman" w:hint="eastAsia"/>
                <w:sz w:val="24"/>
                <w:szCs w:val="24"/>
              </w:rPr>
              <w:t>专家姓名</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工作单位</w:t>
            </w:r>
          </w:p>
          <w:p w:rsidR="00A97D36" w:rsidRPr="00A97D36" w:rsidRDefault="00A97D36" w:rsidP="00A97D36">
            <w:pPr>
              <w:jc w:val="center"/>
              <w:rPr>
                <w:rFonts w:ascii="宋体" w:eastAsia="宋体" w:hAnsi="宋体" w:cs="Times New Roman"/>
                <w:sz w:val="24"/>
                <w:szCs w:val="24"/>
              </w:rPr>
            </w:pPr>
            <w:r w:rsidRPr="00A97D36">
              <w:rPr>
                <w:rFonts w:ascii="宋体" w:eastAsia="宋体" w:hAnsi="宋体" w:cs="Times New Roman" w:hint="eastAsia"/>
                <w:sz w:val="24"/>
                <w:szCs w:val="24"/>
              </w:rPr>
              <w:t>职称</w:t>
            </w:r>
            <w:r w:rsidRPr="00A97D36">
              <w:rPr>
                <w:rFonts w:ascii="宋体" w:eastAsia="宋体" w:hAnsi="宋体" w:cs="Times New Roman"/>
                <w:sz w:val="24"/>
                <w:szCs w:val="24"/>
              </w:rPr>
              <w:t xml:space="preserve">                      </w:t>
            </w:r>
            <w:r w:rsidRPr="00A97D36">
              <w:rPr>
                <w:rFonts w:ascii="宋体" w:eastAsia="宋体" w:hAnsi="宋体" w:cs="Times New Roman" w:hint="eastAsia"/>
                <w:sz w:val="24"/>
                <w:szCs w:val="24"/>
              </w:rPr>
              <w:t>联系电话</w:t>
            </w:r>
          </w:p>
        </w:tc>
      </w:tr>
      <w:tr w:rsidR="00A97D36" w:rsidRPr="00A97D36">
        <w:trPr>
          <w:trHeight w:val="1815"/>
        </w:trPr>
        <w:tc>
          <w:tcPr>
            <w:tcW w:w="832" w:type="pct"/>
            <w:vAlign w:val="center"/>
          </w:tcPr>
          <w:p w:rsidR="00A97D36" w:rsidRPr="00A97D36" w:rsidRDefault="00A97D36" w:rsidP="00A97D36">
            <w:pPr>
              <w:jc w:val="center"/>
              <w:rPr>
                <w:rFonts w:ascii="宋体" w:eastAsia="宋体" w:hAnsi="宋体" w:cs="Times New Roman"/>
                <w:b/>
                <w:sz w:val="24"/>
                <w:szCs w:val="24"/>
              </w:rPr>
            </w:pPr>
            <w:r w:rsidRPr="00A97D36">
              <w:rPr>
                <w:rFonts w:ascii="宋体" w:eastAsia="宋体" w:hAnsi="宋体" w:cs="Times New Roman" w:hint="eastAsia"/>
                <w:b/>
                <w:sz w:val="24"/>
                <w:szCs w:val="24"/>
              </w:rPr>
              <w:t>学院分管领导（或分管校领导）签字</w:t>
            </w:r>
          </w:p>
        </w:tc>
        <w:tc>
          <w:tcPr>
            <w:tcW w:w="4168" w:type="pct"/>
            <w:gridSpan w:val="3"/>
            <w:vAlign w:val="center"/>
          </w:tcPr>
          <w:p w:rsidR="00A97D36" w:rsidRPr="00A97D36" w:rsidRDefault="00A97D36" w:rsidP="00A97D36">
            <w:pPr>
              <w:jc w:val="center"/>
              <w:rPr>
                <w:rFonts w:ascii="宋体" w:eastAsia="宋体" w:hAnsi="宋体" w:cs="Times New Roman"/>
                <w:sz w:val="32"/>
                <w:szCs w:val="32"/>
              </w:rPr>
            </w:pPr>
          </w:p>
        </w:tc>
      </w:tr>
    </w:tbl>
    <w:p w:rsidR="00A97D36" w:rsidRPr="00A97D36" w:rsidRDefault="00A97D36" w:rsidP="00A97D36">
      <w:pPr>
        <w:jc w:val="left"/>
        <w:rPr>
          <w:rFonts w:ascii="仿宋" w:eastAsia="仿宋" w:hAnsi="仿宋" w:cs="Times New Roman"/>
          <w:b/>
          <w:sz w:val="24"/>
          <w:szCs w:val="24"/>
        </w:rPr>
      </w:pPr>
      <w:r w:rsidRPr="00A97D36">
        <w:rPr>
          <w:rFonts w:ascii="仿宋" w:eastAsia="仿宋" w:hAnsi="仿宋" w:cs="Times New Roman" w:hint="eastAsia"/>
          <w:b/>
          <w:sz w:val="24"/>
          <w:szCs w:val="24"/>
        </w:rPr>
        <w:t>填表注意事项：</w:t>
      </w:r>
    </w:p>
    <w:p w:rsidR="00A97D36" w:rsidRPr="00A97D36" w:rsidRDefault="00A97D36" w:rsidP="00A97D36">
      <w:pPr>
        <w:jc w:val="left"/>
        <w:rPr>
          <w:rFonts w:ascii="仿宋" w:eastAsia="仿宋" w:hAnsi="仿宋" w:cs="Times New Roman"/>
          <w:sz w:val="24"/>
          <w:szCs w:val="24"/>
        </w:rPr>
      </w:pPr>
      <w:r w:rsidRPr="00A97D36">
        <w:rPr>
          <w:rFonts w:ascii="仿宋" w:eastAsia="仿宋" w:hAnsi="仿宋" w:cs="Times New Roman" w:hint="eastAsia"/>
          <w:sz w:val="24"/>
          <w:szCs w:val="24"/>
        </w:rPr>
        <w:t>本表格适用于</w:t>
      </w:r>
      <w:r w:rsidRPr="00A97D36">
        <w:rPr>
          <w:rFonts w:ascii="仿宋" w:eastAsia="仿宋" w:hAnsi="仿宋" w:cs="Times New Roman"/>
          <w:sz w:val="24"/>
          <w:szCs w:val="24"/>
        </w:rPr>
        <w:t>200</w:t>
      </w:r>
      <w:r w:rsidRPr="00A97D36">
        <w:rPr>
          <w:rFonts w:ascii="仿宋" w:eastAsia="仿宋" w:hAnsi="仿宋" w:cs="Times New Roman" w:hint="eastAsia"/>
          <w:sz w:val="24"/>
          <w:szCs w:val="24"/>
        </w:rPr>
        <w:t>万元以下项目的单一来源采购的符合性和必要性进行论证；论证意见应当完整、清晰和明确，可另附页。</w:t>
      </w:r>
    </w:p>
    <w:p w:rsidR="0053674A" w:rsidRPr="00A97D36" w:rsidRDefault="0053674A" w:rsidP="00A97D36"/>
    <w:sectPr w:rsidR="0053674A" w:rsidRPr="00A97D36" w:rsidSect="001011C4">
      <w:pgSz w:w="11906" w:h="16838"/>
      <w:pgMar w:top="1134" w:right="567" w:bottom="156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9C9" w:rsidRDefault="00BC09C9" w:rsidP="00773E3A">
      <w:r>
        <w:separator/>
      </w:r>
    </w:p>
  </w:endnote>
  <w:endnote w:type="continuationSeparator" w:id="0">
    <w:p w:rsidR="00BC09C9" w:rsidRDefault="00BC09C9" w:rsidP="0077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9C9" w:rsidRDefault="00BC09C9" w:rsidP="00773E3A">
      <w:r>
        <w:separator/>
      </w:r>
    </w:p>
  </w:footnote>
  <w:footnote w:type="continuationSeparator" w:id="0">
    <w:p w:rsidR="00BC09C9" w:rsidRDefault="00BC09C9" w:rsidP="0077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6730"/>
    <w:multiLevelType w:val="hybridMultilevel"/>
    <w:tmpl w:val="4D296730"/>
    <w:lvl w:ilvl="0" w:tplc="FFFFFFFF">
      <w:start w:val="1"/>
      <w:numFmt w:val="bullet"/>
      <w:lvlText w:val=""/>
      <w:lvlJc w:val="left"/>
      <w:pPr>
        <w:ind w:left="420" w:hanging="420"/>
      </w:pPr>
      <w:rPr>
        <w:rFonts w:ascii="Wingdings" w:eastAsia="等线" w:hAnsi="Wingdings"/>
      </w:rPr>
    </w:lvl>
    <w:lvl w:ilvl="1" w:tplc="FFFFFFFF">
      <w:start w:val="1"/>
      <w:numFmt w:val="bullet"/>
      <w:lvlText w:val=""/>
      <w:lvlJc w:val="left"/>
      <w:pPr>
        <w:ind w:left="840" w:hanging="420"/>
      </w:pPr>
      <w:rPr>
        <w:rFonts w:ascii="Wingdings" w:eastAsia="等线" w:hAnsi="Wingdings"/>
      </w:rPr>
    </w:lvl>
    <w:lvl w:ilvl="2" w:tplc="FFFFFFFF">
      <w:start w:val="1"/>
      <w:numFmt w:val="bullet"/>
      <w:lvlText w:val=""/>
      <w:lvlJc w:val="left"/>
      <w:pPr>
        <w:ind w:left="1260" w:hanging="420"/>
      </w:pPr>
      <w:rPr>
        <w:rFonts w:ascii="Wingdings" w:eastAsia="等线" w:hAnsi="Wingdings"/>
      </w:rPr>
    </w:lvl>
    <w:lvl w:ilvl="3" w:tplc="FFFFFFFF">
      <w:start w:val="1"/>
      <w:numFmt w:val="bullet"/>
      <w:lvlText w:val=""/>
      <w:lvlJc w:val="left"/>
      <w:pPr>
        <w:ind w:left="1680" w:hanging="420"/>
      </w:pPr>
      <w:rPr>
        <w:rFonts w:ascii="Wingdings" w:eastAsia="等线" w:hAnsi="Wingdings"/>
      </w:rPr>
    </w:lvl>
    <w:lvl w:ilvl="4" w:tplc="FFFFFFFF">
      <w:start w:val="1"/>
      <w:numFmt w:val="bullet"/>
      <w:lvlText w:val=""/>
      <w:lvlJc w:val="left"/>
      <w:pPr>
        <w:ind w:left="2100" w:hanging="420"/>
      </w:pPr>
      <w:rPr>
        <w:rFonts w:ascii="Wingdings" w:eastAsia="等线" w:hAnsi="Wingdings"/>
      </w:rPr>
    </w:lvl>
    <w:lvl w:ilvl="5" w:tplc="FFFFFFFF">
      <w:start w:val="1"/>
      <w:numFmt w:val="bullet"/>
      <w:lvlText w:val=""/>
      <w:lvlJc w:val="left"/>
      <w:pPr>
        <w:ind w:left="2520" w:hanging="420"/>
      </w:pPr>
      <w:rPr>
        <w:rFonts w:ascii="Wingdings" w:eastAsia="等线" w:hAnsi="Wingdings"/>
      </w:rPr>
    </w:lvl>
    <w:lvl w:ilvl="6" w:tplc="FFFFFFFF">
      <w:start w:val="1"/>
      <w:numFmt w:val="bullet"/>
      <w:lvlText w:val=""/>
      <w:lvlJc w:val="left"/>
      <w:pPr>
        <w:ind w:left="2940" w:hanging="420"/>
      </w:pPr>
      <w:rPr>
        <w:rFonts w:ascii="Wingdings" w:eastAsia="等线" w:hAnsi="Wingdings"/>
      </w:rPr>
    </w:lvl>
    <w:lvl w:ilvl="7" w:tplc="FFFFFFFF">
      <w:start w:val="1"/>
      <w:numFmt w:val="bullet"/>
      <w:lvlText w:val=""/>
      <w:lvlJc w:val="left"/>
      <w:pPr>
        <w:ind w:left="3360" w:hanging="420"/>
      </w:pPr>
      <w:rPr>
        <w:rFonts w:ascii="Wingdings" w:eastAsia="等线" w:hAnsi="Wingdings"/>
      </w:rPr>
    </w:lvl>
    <w:lvl w:ilvl="8" w:tplc="FFFFFFFF">
      <w:start w:val="1"/>
      <w:numFmt w:val="bullet"/>
      <w:lvlText w:val=""/>
      <w:lvlJc w:val="left"/>
      <w:pPr>
        <w:ind w:left="3780" w:hanging="420"/>
      </w:pPr>
      <w:rPr>
        <w:rFonts w:ascii="Wingdings" w:eastAsia="等线" w:hAnsi="Wingdings"/>
      </w:rPr>
    </w:lvl>
  </w:abstractNum>
  <w:abstractNum w:abstractNumId="1" w15:restartNumberingAfterBreak="0">
    <w:nsid w:val="4FB9224A"/>
    <w:multiLevelType w:val="hybridMultilevel"/>
    <w:tmpl w:val="F1E691EA"/>
    <w:lvl w:ilvl="0" w:tplc="DA4647E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E0E32C5"/>
    <w:multiLevelType w:val="hybridMultilevel"/>
    <w:tmpl w:val="BAF28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3335045">
    <w:abstractNumId w:val="0"/>
  </w:num>
  <w:num w:numId="2" w16cid:durableId="531309200">
    <w:abstractNumId w:val="2"/>
  </w:num>
  <w:num w:numId="3" w16cid:durableId="68637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1C7"/>
    <w:rsid w:val="000664AE"/>
    <w:rsid w:val="00090F0A"/>
    <w:rsid w:val="000E113F"/>
    <w:rsid w:val="00110E9B"/>
    <w:rsid w:val="0019418E"/>
    <w:rsid w:val="001F56BB"/>
    <w:rsid w:val="00204513"/>
    <w:rsid w:val="0022206F"/>
    <w:rsid w:val="002627BF"/>
    <w:rsid w:val="002C6B8E"/>
    <w:rsid w:val="003125E8"/>
    <w:rsid w:val="00374F34"/>
    <w:rsid w:val="003C6F97"/>
    <w:rsid w:val="004C6DA0"/>
    <w:rsid w:val="0051236B"/>
    <w:rsid w:val="0053674A"/>
    <w:rsid w:val="0056231A"/>
    <w:rsid w:val="0063688D"/>
    <w:rsid w:val="006E20C5"/>
    <w:rsid w:val="00707DC0"/>
    <w:rsid w:val="00773E3A"/>
    <w:rsid w:val="00777F8B"/>
    <w:rsid w:val="0085024A"/>
    <w:rsid w:val="008E3A6C"/>
    <w:rsid w:val="008E4C28"/>
    <w:rsid w:val="0093370A"/>
    <w:rsid w:val="009411C7"/>
    <w:rsid w:val="00A06F98"/>
    <w:rsid w:val="00A53A5B"/>
    <w:rsid w:val="00A70EA6"/>
    <w:rsid w:val="00A92B4D"/>
    <w:rsid w:val="00A97D36"/>
    <w:rsid w:val="00A97F63"/>
    <w:rsid w:val="00B57C99"/>
    <w:rsid w:val="00BB485E"/>
    <w:rsid w:val="00BC09C9"/>
    <w:rsid w:val="00C577F7"/>
    <w:rsid w:val="00CB721E"/>
    <w:rsid w:val="00CF1312"/>
    <w:rsid w:val="00DB6F09"/>
    <w:rsid w:val="00DF27B3"/>
    <w:rsid w:val="00EC61BB"/>
    <w:rsid w:val="00F32130"/>
    <w:rsid w:val="00F50F71"/>
    <w:rsid w:val="00F714D7"/>
    <w:rsid w:val="00F76232"/>
    <w:rsid w:val="00FF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CB51DD5-4B63-46D1-99F7-EFF4489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E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3E3A"/>
    <w:rPr>
      <w:sz w:val="18"/>
      <w:szCs w:val="18"/>
    </w:rPr>
  </w:style>
  <w:style w:type="paragraph" w:styleId="a6">
    <w:name w:val="footer"/>
    <w:basedOn w:val="a"/>
    <w:link w:val="a7"/>
    <w:uiPriority w:val="99"/>
    <w:unhideWhenUsed/>
    <w:rsid w:val="00773E3A"/>
    <w:pPr>
      <w:tabs>
        <w:tab w:val="center" w:pos="4153"/>
        <w:tab w:val="right" w:pos="8306"/>
      </w:tabs>
      <w:snapToGrid w:val="0"/>
      <w:jc w:val="left"/>
    </w:pPr>
    <w:rPr>
      <w:sz w:val="18"/>
      <w:szCs w:val="18"/>
    </w:rPr>
  </w:style>
  <w:style w:type="character" w:customStyle="1" w:styleId="a7">
    <w:name w:val="页脚 字符"/>
    <w:basedOn w:val="a0"/>
    <w:link w:val="a6"/>
    <w:uiPriority w:val="99"/>
    <w:rsid w:val="00773E3A"/>
    <w:rPr>
      <w:sz w:val="18"/>
      <w:szCs w:val="18"/>
    </w:rPr>
  </w:style>
  <w:style w:type="paragraph" w:styleId="a8">
    <w:name w:val="Balloon Text"/>
    <w:basedOn w:val="a"/>
    <w:link w:val="a9"/>
    <w:uiPriority w:val="99"/>
    <w:semiHidden/>
    <w:unhideWhenUsed/>
    <w:rsid w:val="000E113F"/>
    <w:rPr>
      <w:sz w:val="18"/>
      <w:szCs w:val="18"/>
    </w:rPr>
  </w:style>
  <w:style w:type="character" w:customStyle="1" w:styleId="a9">
    <w:name w:val="批注框文本 字符"/>
    <w:basedOn w:val="a0"/>
    <w:link w:val="a8"/>
    <w:uiPriority w:val="99"/>
    <w:semiHidden/>
    <w:rsid w:val="000E113F"/>
    <w:rPr>
      <w:sz w:val="18"/>
      <w:szCs w:val="18"/>
    </w:rPr>
  </w:style>
  <w:style w:type="paragraph" w:styleId="aa">
    <w:name w:val="List Paragraph"/>
    <w:basedOn w:val="a"/>
    <w:uiPriority w:val="34"/>
    <w:qFormat/>
    <w:rsid w:val="00A97D36"/>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njust njust</cp:lastModifiedBy>
  <cp:revision>12</cp:revision>
  <cp:lastPrinted>2022-12-02T03:05:00Z</cp:lastPrinted>
  <dcterms:created xsi:type="dcterms:W3CDTF">2018-06-05T08:01:00Z</dcterms:created>
  <dcterms:modified xsi:type="dcterms:W3CDTF">2022-12-13T02:51:00Z</dcterms:modified>
</cp:coreProperties>
</file>