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630" w:lineRule="atLeast"/>
        <w:ind w:left="0" w:right="0"/>
        <w:jc w:val="center"/>
        <w:rPr>
          <w:rFonts w:ascii="微软雅黑" w:hAnsi="微软雅黑" w:eastAsia="微软雅黑" w:cs="微软雅黑"/>
          <w:color w:val="000000"/>
          <w:sz w:val="42"/>
          <w:szCs w:val="42"/>
        </w:rPr>
      </w:pPr>
      <w:r>
        <w:rPr>
          <w:rFonts w:hint="eastAsia" w:ascii="微软雅黑" w:hAnsi="微软雅黑" w:eastAsia="微软雅黑" w:cs="微软雅黑"/>
          <w:color w:val="000000"/>
          <w:sz w:val="42"/>
          <w:szCs w:val="42"/>
        </w:rPr>
        <w:t>（市交易中心）南京理工大学灾后学生宿舍重建项目幕墙工程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/>
          <w:sz w:val="21"/>
          <w:szCs w:val="21"/>
          <w:bdr w:val="none" w:color="auto" w:sz="0" w:space="0"/>
        </w:rPr>
        <w:t>【信息发布时间：2020-01-19 11:27】 【</w:t>
      </w:r>
      <w:r>
        <w:rPr>
          <w:rFonts w:hint="eastAsia" w:ascii="微软雅黑" w:hAnsi="微软雅黑" w:eastAsia="微软雅黑" w:cs="微软雅黑"/>
          <w:b/>
          <w:color w:val="999999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/>
          <w:color w:val="999999"/>
          <w:sz w:val="21"/>
          <w:szCs w:val="21"/>
          <w:u w:val="none"/>
          <w:bdr w:val="none" w:color="auto" w:sz="0" w:space="0"/>
        </w:rPr>
        <w:instrText xml:space="preserve"> HYPERLINK "http://njggzy.nanjing.gov.cn/njweb/fjsz/068002/068002001/20200119/javascript:window.print();" </w:instrText>
      </w:r>
      <w:r>
        <w:rPr>
          <w:rFonts w:hint="eastAsia" w:ascii="微软雅黑" w:hAnsi="微软雅黑" w:eastAsia="微软雅黑" w:cs="微软雅黑"/>
          <w:b/>
          <w:color w:val="999999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/>
          <w:color w:val="999999"/>
          <w:sz w:val="21"/>
          <w:szCs w:val="21"/>
          <w:u w:val="none"/>
          <w:bdr w:val="none" w:color="auto" w:sz="0" w:space="0"/>
        </w:rPr>
        <w:t>我要打印</w:t>
      </w:r>
      <w:r>
        <w:rPr>
          <w:rFonts w:hint="eastAsia" w:ascii="微软雅黑" w:hAnsi="微软雅黑" w:eastAsia="微软雅黑" w:cs="微软雅黑"/>
          <w:b/>
          <w:color w:val="999999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/>
          <w:sz w:val="21"/>
          <w:szCs w:val="21"/>
          <w:bdr w:val="none" w:color="auto" w:sz="0" w:space="0"/>
        </w:rPr>
        <w:t xml:space="preserve">】 【来源：南京市公共资源交易中心】 </w:t>
      </w:r>
    </w:p>
    <w:p>
      <w:pPr>
        <w:pStyle w:val="1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Arial" w:hAnsi="Arial" w:eastAsia="微软雅黑" w:cs="Arial"/>
          <w:vanish/>
          <w:color w:val="333333"/>
          <w:kern w:val="0"/>
          <w:sz w:val="20"/>
          <w:szCs w:val="20"/>
          <w:bdr w:val="none" w:color="auto" w:sz="0" w:space="0"/>
          <w:lang w:val="en-US" w:eastAsia="zh-CN" w:bidi="ar"/>
        </w:rPr>
        <w:object>
          <v:shape id="_x0000_i1025" o:spt="201" type="#_x0000_t201" style="height:18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HTMLHidden1" w:shapeid="_x0000_i1025"/>
        </w:object>
      </w:r>
      <w:r>
        <w:rPr>
          <w:rFonts w:hint="default" w:ascii="Arial" w:hAnsi="Arial" w:eastAsia="微软雅黑" w:cs="Arial"/>
          <w:vanish/>
          <w:color w:val="333333"/>
          <w:kern w:val="0"/>
          <w:sz w:val="20"/>
          <w:szCs w:val="20"/>
          <w:bdr w:val="none" w:color="auto" w:sz="0" w:space="0"/>
          <w:lang w:val="en-US" w:eastAsia="zh-CN" w:bidi="ar"/>
        </w:rPr>
        <w:object>
          <v:shape id="_x0000_i1026" o:spt="201" type="#_x0000_t201" style="height:18pt;width:7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HTMLHidden2" w:shapeid="_x0000_i1026"/>
        </w:object>
      </w:r>
    </w:p>
    <w:tbl>
      <w:tblPr>
        <w:tblW w:w="116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40" w:type="dxa"/>
            <w:shd w:val="clear"/>
            <w:vAlign w:val="center"/>
          </w:tcPr>
          <w:tbl>
            <w:tblPr>
              <w:tblW w:w="11640" w:type="dxa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385"/>
            </w:tblGrid>
            <w:tr>
              <w:tblPrEx>
                <w:shd w:val="clear"/>
              </w:tblPrEx>
              <w:trPr>
                <w:trHeight w:val="75" w:hRule="atLeast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tbl>
                  <w:tblPr>
                    <w:tblW w:w="4750" w:type="pct"/>
                    <w:jc w:val="center"/>
                    <w:tblBorders>
                      <w:top w:val="outset" w:color="6699CC" w:sz="18" w:space="0"/>
                      <w:left w:val="outset" w:color="6699CC" w:sz="18" w:space="0"/>
                      <w:bottom w:val="outset" w:color="6699CC" w:sz="18" w:space="0"/>
                      <w:right w:val="outset" w:color="6699CC" w:sz="18" w:space="0"/>
                      <w:insideH w:val="outset" w:color="6699CC" w:sz="18" w:space="0"/>
                      <w:insideV w:val="outset" w:color="6699CC" w:sz="18" w:space="0"/>
                    </w:tblBorders>
                    <w:shd w:val="clear"/>
                    <w:tblLayout w:type="autofit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</w:tblPr>
                  <w:tblGrid>
                    <w:gridCol w:w="12340"/>
                  </w:tblGrid>
                  <w:tr>
                    <w:tblPrEx>
                      <w:tblBorders>
                        <w:top w:val="outset" w:color="6699CC" w:sz="18" w:space="0"/>
                        <w:left w:val="outset" w:color="6699CC" w:sz="18" w:space="0"/>
                        <w:bottom w:val="outset" w:color="6699CC" w:sz="18" w:space="0"/>
                        <w:right w:val="outset" w:color="6699CC" w:sz="18" w:space="0"/>
                        <w:insideH w:val="outset" w:color="6699CC" w:sz="18" w:space="0"/>
                        <w:insideV w:val="outset" w:color="6699CC" w:sz="18" w:space="0"/>
                      </w:tblBorders>
                      <w:shd w:val="clear"/>
                      <w:tblCellMar>
                        <w:top w:w="60" w:type="dxa"/>
                        <w:left w:w="60" w:type="dxa"/>
                        <w:bottom w:w="60" w:type="dxa"/>
                        <w:right w:w="60" w:type="dxa"/>
                      </w:tblCellMar>
                    </w:tblPrEx>
                    <w:trPr>
                      <w:trHeight w:val="4471" w:hRule="atLeast"/>
                      <w:jc w:val="center"/>
                    </w:trPr>
                    <w:tc>
                      <w:tcPr>
                        <w:tcW w:w="5000" w:type="pct"/>
                        <w:shd w:val="clea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0000"/>
                            <w:sz w:val="30"/>
                            <w:szCs w:val="30"/>
                            <w:u w:val="single"/>
                          </w:rPr>
                          <w:t>江苏省南京市工程建设项目中标候选人公示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33333"/>
                            <w:sz w:val="26"/>
                            <w:szCs w:val="26"/>
                          </w:rPr>
                          <w:t>标段编号: ANJ171413-05SG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33333"/>
                            <w:sz w:val="26"/>
                            <w:szCs w:val="26"/>
                          </w:rPr>
                          <w:t>标段类别: 施工；   评分办法:合理低价法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00" w:lineRule="atLeast"/>
                          <w:ind w:left="0"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33333"/>
                            <w:sz w:val="26"/>
                            <w:szCs w:val="26"/>
                          </w:rPr>
                          <w:t>    根据工程招标投标的有关法律.法规.规章和该工程招标文件的规定，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333333"/>
                            <w:sz w:val="26"/>
                            <w:szCs w:val="26"/>
                            <w:u w:val="single"/>
                          </w:rPr>
                          <w:t>南京理工大学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33333"/>
                            <w:sz w:val="26"/>
                            <w:szCs w:val="26"/>
                          </w:rPr>
                          <w:t>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333333"/>
                            <w:sz w:val="26"/>
                            <w:szCs w:val="26"/>
                            <w:u w:val="single"/>
                          </w:rPr>
                          <w:t>南京理工大学灾后学生宿舍重建项目幕墙工程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333333"/>
                            <w:sz w:val="26"/>
                            <w:szCs w:val="26"/>
                          </w:rPr>
                          <w:t>评标工作已经结束，现将中标候选人公示如下：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eastAsia" w:ascii="微软雅黑" w:hAnsi="微软雅黑" w:eastAsia="微软雅黑" w:cs="微软雅黑"/>
                            <w:color w:val="333333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autofi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12294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c>
                            <w:tcPr>
                              <w:tcW w:w="0" w:type="auto"/>
                              <w:shd w:val="clear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Ind w:w="0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/>
                                <w:tblLayout w:type="autofi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>
                              <w:tblGrid>
                                <w:gridCol w:w="11970"/>
                                <w:gridCol w:w="36"/>
                                <w:gridCol w:w="36"/>
                                <w:gridCol w:w="36"/>
                                <w:gridCol w:w="36"/>
                                <w:gridCol w:w="36"/>
                                <w:gridCol w:w="36"/>
                                <w:gridCol w:w="36"/>
                                <w:gridCol w:w="36"/>
                                <w:gridCol w:w="36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gridAfter w:val="9"/>
                                  <w:trHeight w:val="375" w:hRule="atLeast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color w:val="333333"/>
                                        <w:kern w:val="0"/>
                                        <w:sz w:val="30"/>
                                        <w:szCs w:val="30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1、中标候选人排序名单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gridAfter w:val="9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pPr w:vertAnchor="text" w:tblpXSpec="left"/>
                                      <w:tblW w:w="11970" w:type="dxa"/>
                                      <w:tblInd w:w="0" w:type="dxa"/>
                                      <w:shd w:val="clear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1299"/>
                                      <w:gridCol w:w="1104"/>
                                      <w:gridCol w:w="1628"/>
                                      <w:gridCol w:w="1282"/>
                                      <w:gridCol w:w="1107"/>
                                      <w:gridCol w:w="1107"/>
                                      <w:gridCol w:w="1122"/>
                                      <w:gridCol w:w="1107"/>
                                      <w:gridCol w:w="1107"/>
                                      <w:gridCol w:w="1107"/>
                                    </w:tblGrid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1125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0" w:lineRule="atLeast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0"/>
                                              <w:szCs w:val="0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0" w:lineRule="atLeast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0"/>
                                              <w:szCs w:val="0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0" w:lineRule="atLeast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0"/>
                                              <w:szCs w:val="0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0" w:lineRule="atLeast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0"/>
                                              <w:szCs w:val="0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0" w:lineRule="atLeast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0"/>
                                              <w:szCs w:val="0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0" w:lineRule="atLeast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0"/>
                                              <w:szCs w:val="0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0" w:lineRule="atLeast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0"/>
                                              <w:szCs w:val="0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0" w:lineRule="atLeast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0"/>
                                              <w:szCs w:val="0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0" w:lineRule="atLeast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0"/>
                                              <w:szCs w:val="0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 w:line="0" w:lineRule="atLeast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0"/>
                                              <w:szCs w:val="0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75" w:hRule="atLeast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第一名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第二名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第三名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75" w:hRule="atLeast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中标候选人名称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南京杰冠装饰集团有限公司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江苏华宇装饰集团有限公司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江苏华特建筑装饰股份有限公司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75" w:hRule="atLeast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企业资质等级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建筑幕墙工程一级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建筑幕墙工程一级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建筑幕墙工程一级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75" w:hRule="atLeast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投标报价（万元）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862.311206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863.788138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864.998777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75" w:hRule="atLeast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项目负责人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夏鹏程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卢佳丽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康玉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75" w:hRule="atLeast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项目负责人资质等级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建筑工程一级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建筑工程一级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建筑工程一级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75" w:hRule="atLeast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项目负责人证书编号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00578389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00260257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00761108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75" w:hRule="atLeast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暂估价（万元）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工程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75" w:hRule="atLeast"/>
                                      </w:trPr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材料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gridAfter w:val="9"/>
                                  <w:trHeight w:val="375" w:hRule="atLeast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color w:val="333333"/>
                                        <w:kern w:val="0"/>
                                        <w:sz w:val="30"/>
                                        <w:szCs w:val="30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2、中标候选人资格审查信息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gridAfter w:val="9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pPr w:vertAnchor="text" w:tblpXSpec="left"/>
                                      <w:tblW w:w="11970" w:type="dxa"/>
                                      <w:tblInd w:w="0" w:type="dxa"/>
                                      <w:shd w:val="clear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2660"/>
                                      <w:gridCol w:w="2161"/>
                                      <w:gridCol w:w="3574"/>
                                      <w:gridCol w:w="3574"/>
                                      <w:gridCol w:w="1"/>
                                    </w:tblGrid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gridAfter w:val="1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vanish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vanish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vanish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第一名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南京杰冠装饰集团有限公司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75" w:hRule="atLeast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资格预审得分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企业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资审业绩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评分业绩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奖 项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</w:tblPrEx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项目负责人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资审业绩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评分业绩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奖 项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第二名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江苏华宇装饰集团有限公司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资格预审得分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企业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资审业绩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评分业绩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奖 项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</w:tblPrEx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项目负责人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资审业绩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评分业绩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奖 项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第三名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江苏华特建筑装饰股份有限公司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资格预审得分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企业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资审业绩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评分业绩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奖 项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项目负责人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资审业绩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评分业绩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奖 项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gridAfter w:val="9"/>
                                  <w:trHeight w:val="375" w:hRule="atLeast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color w:val="333333"/>
                                        <w:kern w:val="0"/>
                                        <w:sz w:val="30"/>
                                        <w:szCs w:val="30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3、无效投标文件的投标人和判定依据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kern w:val="0"/>
                                        <w:sz w:val="30"/>
                                        <w:szCs w:val="30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（无）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gridAfter w:val="9"/>
                                  <w:trHeight w:val="375" w:hRule="atLeast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color w:val="333333"/>
                                        <w:kern w:val="0"/>
                                        <w:sz w:val="30"/>
                                        <w:szCs w:val="30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4、资格后审不合格的投标人的名称以及不合格的具体原因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gridAfter w:val="9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pPr w:vertAnchor="text" w:tblpXSpec="left"/>
                                      <w:tblW w:w="5000" w:type="pct"/>
                                      <w:tblInd w:w="-7" w:type="dxa"/>
                                      <w:shd w:val="clear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2982"/>
                                      <w:gridCol w:w="6005"/>
                                      <w:gridCol w:w="2983"/>
                                    </w:tblGrid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单位名称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理由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具体原因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绿蜻蜓建设管理有限公司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投标人资格条件不符合国家有关规定或招标文件要求的;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项目经理社保不符合要求。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江苏华幕建筑科技有限公司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投标人资格条件不符合国家有关规定或招标文件要求的;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承诺书无法人签字。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c>
                                        <w:tcPr>
                                          <w:tcW w:w="0" w:type="auto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江苏中星建设集团有限公司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投标人资格条件不符合国家有关规定或招标文件要求的;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企业信用手册过期。 </w: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gridAfter w:val="9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gridAfter w:val="9"/>
                                  <w:trHeight w:val="375" w:hRule="atLeast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color w:val="333333"/>
                                        <w:kern w:val="0"/>
                                        <w:sz w:val="30"/>
                                        <w:szCs w:val="30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5、评标委员会对投标报价修正的原因、依据和修正结果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kern w:val="0"/>
                                        <w:sz w:val="30"/>
                                        <w:szCs w:val="30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（无）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gridAfter w:val="9"/>
                                  <w:trHeight w:val="375" w:hRule="atLeast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color w:val="333333"/>
                                        <w:kern w:val="0"/>
                                        <w:sz w:val="30"/>
                                        <w:szCs w:val="30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6、投标人及其拟派项目负责人类似工程业绩、奖项、投标报价、投标报价合理性等得分情况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gridAfter w:val="9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pPr w:vertAnchor="text" w:tblpXSpec="left"/>
                                      <w:tblW w:w="5000" w:type="pct"/>
                                      <w:tblInd w:w="-7" w:type="dxa"/>
                                      <w:shd w:val="clear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544"/>
                                      <w:gridCol w:w="1010"/>
                                      <w:gridCol w:w="1010"/>
                                      <w:gridCol w:w="1477"/>
                                      <w:gridCol w:w="1477"/>
                                      <w:gridCol w:w="1010"/>
                                      <w:gridCol w:w="1010"/>
                                      <w:gridCol w:w="1710"/>
                                      <w:gridCol w:w="1477"/>
                                      <w:gridCol w:w="1245"/>
                                    </w:tblGrid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75" w:hRule="atLeast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序号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单位名称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7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得分项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最终总得分 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375" w:hRule="atLeast"/>
                                      </w:trPr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类似工程业绩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项目经理奖项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信用评价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投标报价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投标报价合理性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施工组织设计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shd w:val="clear"/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rHeight w:val="480" w:hRule="atLeast"/>
                                      </w:trPr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企业业绩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18"/>
                                              <w:szCs w:val="18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 xml:space="preserve">项目经理业绩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continue"/>
                                          <w:tcBorders>
                                            <w:top w:val="single" w:color="000000" w:sz="6" w:space="0"/>
                                            <w:left w:val="single" w:color="000000" w:sz="6" w:space="0"/>
                                            <w:bottom w:val="single" w:color="000000" w:sz="6" w:space="0"/>
                                            <w:right w:val="single" w:color="000000" w:sz="6" w:space="0"/>
                                          </w:tcBorders>
                                          <w:shd w:val="clear"/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vanish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gridAfter w:val="9"/>
                                  <w:trHeight w:val="375" w:hRule="atLeast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color w:val="333333"/>
                                        <w:kern w:val="0"/>
                                        <w:sz w:val="30"/>
                                        <w:szCs w:val="30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7、评审技术标的评标委员会成员为各投标人技术标部分的评分情况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c>
                                  <w:tcPr>
                                    <w:tcW w:w="0" w:type="auto"/>
                                    <w:gridSpan w:val="10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375" w:hRule="atLeast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color w:val="333333"/>
                                        <w:kern w:val="0"/>
                                        <w:sz w:val="30"/>
                                        <w:szCs w:val="30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8、拟定中标人：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kern w:val="0"/>
                                        <w:sz w:val="30"/>
                                        <w:szCs w:val="30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 xml:space="preserve"> 南京杰冠装饰集团有限公司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375" w:hRule="atLeast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color w:val="333333"/>
                                        <w:kern w:val="0"/>
                                        <w:sz w:val="30"/>
                                        <w:szCs w:val="30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9、公示起止时间：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kern w:val="0"/>
                                        <w:sz w:val="30"/>
                                        <w:szCs w:val="30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     2020/1/19起，至2020/1/22</w:t>
                                    </w: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375" w:hRule="atLeast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pStyle w:val="3"/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 w:line="400" w:lineRule="atLeast"/>
                                      <w:ind w:left="0" w:right="0"/>
                                      <w:jc w:val="lef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6"/>
                                        <w:szCs w:val="26"/>
                                      </w:rPr>
                                      <w:t>        投标人或者其他利害关系人对上述评标结果有异议的，应当在公示期向招标人提出。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375" w:hRule="atLeast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pStyle w:val="3"/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 w:line="400" w:lineRule="atLeast"/>
                                      <w:ind w:left="0" w:right="0"/>
                                      <w:jc w:val="lef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6"/>
                                        <w:szCs w:val="26"/>
                                      </w:rPr>
                                      <w:t>招标人联系电话：84303870    招标代理联系电话：18951080942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375" w:hRule="atLeast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pStyle w:val="3"/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 w:line="400" w:lineRule="atLeast"/>
                                      <w:ind w:left="0" w:right="0"/>
                                      <w:jc w:val="left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6"/>
                                        <w:szCs w:val="26"/>
                                      </w:rPr>
                                      <w:t>招标人地址：玄武区孝陵卫200号    招标代理地址：南京市玄武区中山门大街297号钟鼎名悦广场5-207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jc w:val="left"/>
                                      <w:rPr>
                                        <w:rFonts w:hint="eastAsia" w:ascii="微软雅黑" w:hAnsi="微软雅黑" w:eastAsia="微软雅黑" w:cs="微软雅黑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333333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beforeAutospacing="0" w:after="0" w:afterAutospacing="0"/>
                          <w:ind w:left="0" w:right="0"/>
                          <w:rPr>
                            <w:rFonts w:hint="eastAsia" w:ascii="微软雅黑" w:hAnsi="微软雅黑" w:eastAsia="微软雅黑" w:cs="微软雅黑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15"/>
      </w:pPr>
      <w:bookmarkStart w:id="0" w:name="_GoBack"/>
      <w:bookmarkEnd w:id="0"/>
      <w: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"http://njggzy.nanjing.gov.cn/njweb/fjsz/068002/068002001/20200119/fc1e43bc-4984-4a7b-a13c-1c205a2c05bd.html" </w:instrText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"http://njggzy.nanjing.gov.cn/njweb/fjsz/068002/068002001/20200119/fc1e43bc-4984-4a7b-a13c-1c205a2c05bd.html" \o "分享到QQ空间" </w:instrText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"http://njggzy.nanjing.gov.cn/njweb/fjsz/068002/068002001/20200119/fc1e43bc-4984-4a7b-a13c-1c205a2c05bd.html" \o "分享到新浪微博" </w:instrText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"http://njggzy.nanjing.gov.cn/njweb/fjsz/068002/068002001/20200119/fc1e43bc-4984-4a7b-a13c-1c205a2c05bd.html" \o "分享到腾讯微博" </w:instrText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"http://njggzy.nanjing.gov.cn/njweb/fjsz/068002/068002001/20200119/fc1e43bc-4984-4a7b-a13c-1c205a2c05bd.html" \o "分享到人人网" </w:instrText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"http://njggzy.nanjing.gov.cn/njweb/fjsz/068002/068002001/20200119/fc1e43bc-4984-4a7b-a13c-1c205a2c05bd.html" \o "分享到微信" </w:instrText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TML Typewriter"/>
    <w:basedOn w:val="5"/>
    <w:uiPriority w:val="0"/>
    <w:rPr>
      <w:rFonts w:hint="default" w:ascii="monospace" w:hAnsi="monospace" w:eastAsia="monospace" w:cs="monospace"/>
      <w:sz w:val="20"/>
      <w:shd w:val="clear" w:fill="FCF8F5"/>
    </w:rPr>
  </w:style>
  <w:style w:type="character" w:styleId="8">
    <w:name w:val="HTML Acronym"/>
    <w:basedOn w:val="5"/>
    <w:uiPriority w:val="0"/>
    <w:rPr>
      <w:bdr w:val="none" w:color="auto" w:sz="0" w:space="0"/>
    </w:rPr>
  </w:style>
  <w:style w:type="character" w:styleId="9">
    <w:name w:val="Hyperlink"/>
    <w:basedOn w:val="5"/>
    <w:uiPriority w:val="0"/>
    <w:rPr>
      <w:color w:val="0000FF"/>
      <w:u w:val="none"/>
    </w:rPr>
  </w:style>
  <w:style w:type="character" w:styleId="10">
    <w:name w:val="HTML Code"/>
    <w:basedOn w:val="5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1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Sample"/>
    <w:basedOn w:val="5"/>
    <w:uiPriority w:val="0"/>
    <w:rPr>
      <w:rFonts w:hint="default" w:ascii="monospace" w:hAnsi="monospace" w:eastAsia="monospace" w:cs="monospace"/>
      <w:shd w:val="clear" w:fill="FCF8F5"/>
    </w:rPr>
  </w:style>
  <w:style w:type="paragraph" w:customStyle="1" w:styleId="13">
    <w:name w:val="info-sources"/>
    <w:basedOn w:val="1"/>
    <w:uiPriority w:val="0"/>
    <w:pPr>
      <w:spacing w:before="150" w:beforeAutospacing="0" w:line="270" w:lineRule="atLeast"/>
      <w:jc w:val="center"/>
    </w:pPr>
    <w:rPr>
      <w:color w:val="999999"/>
      <w:kern w:val="0"/>
      <w:lang w:val="en-US" w:eastAsia="zh-CN" w:bidi="ar"/>
    </w:r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2020-01-19T03:39:11Z</dcterms:created>
  <dc:creator>HP</dc:creator>
  <cp:lastModifiedBy>HP</cp:lastModifiedBy>
  <dcterms:modified xsi:type="dcterms:W3CDTF">2020-01-19T03:46:02Z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